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3B" w:rsidRDefault="00A1703B" w:rsidP="000A5B1B">
      <w:pPr>
        <w:pStyle w:val="Heading1"/>
      </w:pPr>
      <w:bookmarkStart w:id="0" w:name="_GoBack"/>
      <w:bookmarkEnd w:id="0"/>
    </w:p>
    <w:p w:rsidR="00A1703B" w:rsidRDefault="00A1703B">
      <w:pPr>
        <w:numPr>
          <w:ilvl w:val="0"/>
          <w:numId w:val="7"/>
        </w:numPr>
        <w:rPr>
          <w:b/>
          <w:bCs/>
          <w:u w:val="single"/>
        </w:rPr>
      </w:pPr>
      <w:r>
        <w:rPr>
          <w:b/>
          <w:bCs/>
          <w:u w:val="single"/>
        </w:rPr>
        <w:t>DEFINITIONS</w:t>
      </w:r>
    </w:p>
    <w:p w:rsidR="00A1703B" w:rsidRDefault="00A1703B">
      <w:pPr>
        <w:rPr>
          <w:u w:val="single"/>
        </w:rPr>
      </w:pPr>
    </w:p>
    <w:p w:rsidR="003A4585" w:rsidRDefault="003A4585">
      <w:pPr>
        <w:rPr>
          <w:u w:val="single"/>
        </w:rPr>
      </w:pPr>
    </w:p>
    <w:p w:rsidR="00A1703B" w:rsidRDefault="00E35CD5">
      <w:pPr>
        <w:numPr>
          <w:ilvl w:val="1"/>
          <w:numId w:val="7"/>
        </w:numPr>
        <w:spacing w:after="120"/>
        <w:jc w:val="both"/>
        <w:rPr>
          <w:color w:val="FF0000"/>
        </w:rPr>
      </w:pPr>
      <w:r>
        <w:rPr>
          <w:i/>
        </w:rPr>
        <w:t>Cash (</w:t>
      </w:r>
      <w:r w:rsidR="00A1703B">
        <w:rPr>
          <w:i/>
        </w:rPr>
        <w:t>Financial Balance)</w:t>
      </w:r>
      <w:r w:rsidR="00A1703B">
        <w:t xml:space="preserve">: The Financial balance means clear balance available in the customer’s ledger in </w:t>
      </w:r>
      <w:r w:rsidR="00EE69D5">
        <w:t>the</w:t>
      </w:r>
      <w:r w:rsidR="00A1703B">
        <w:t xml:space="preserve"> books of accounts.  For this purpose, it is not enough to receive a </w:t>
      </w:r>
      <w:proofErr w:type="spellStart"/>
      <w:r w:rsidR="00A1703B">
        <w:t>cheque</w:t>
      </w:r>
      <w:proofErr w:type="spellEnd"/>
      <w:r w:rsidR="00A1703B">
        <w:t xml:space="preserve"> or intimation of an online credit to our Bank account.  </w:t>
      </w:r>
      <w:r w:rsidR="00A1703B" w:rsidRPr="00534BCA">
        <w:rPr>
          <w:i/>
        </w:rPr>
        <w:t>The amount should (i) be reflected in our Bank account and (ii)</w:t>
      </w:r>
      <w:proofErr w:type="gramStart"/>
      <w:r w:rsidR="00A1703B" w:rsidRPr="00534BCA">
        <w:rPr>
          <w:i/>
        </w:rPr>
        <w:t>,</w:t>
      </w:r>
      <w:proofErr w:type="gramEnd"/>
      <w:r w:rsidR="00A1703B" w:rsidRPr="00534BCA">
        <w:rPr>
          <w:i/>
        </w:rPr>
        <w:t xml:space="preserve"> we should also</w:t>
      </w:r>
      <w:r w:rsidR="00A1703B">
        <w:t xml:space="preserve"> be able to connect this credit to the specific customer. </w:t>
      </w:r>
    </w:p>
    <w:p w:rsidR="00A1703B" w:rsidRDefault="00E35CD5">
      <w:pPr>
        <w:numPr>
          <w:ilvl w:val="1"/>
          <w:numId w:val="7"/>
        </w:numPr>
        <w:spacing w:after="120"/>
        <w:jc w:val="both"/>
      </w:pPr>
      <w:r w:rsidRPr="00975761">
        <w:rPr>
          <w:b/>
          <w:i/>
        </w:rPr>
        <w:t>NAV (</w:t>
      </w:r>
      <w:r w:rsidR="00A1703B" w:rsidRPr="00975761">
        <w:rPr>
          <w:b/>
          <w:i/>
        </w:rPr>
        <w:t>Net Assets Valu</w:t>
      </w:r>
      <w:r>
        <w:rPr>
          <w:b/>
          <w:i/>
        </w:rPr>
        <w:t>e</w:t>
      </w:r>
      <w:r>
        <w:rPr>
          <w:b/>
        </w:rPr>
        <w:t>:</w:t>
      </w:r>
      <w:r w:rsidR="00A1703B">
        <w:t xml:space="preserve"> The Financial balance + FO Margin + Stock </w:t>
      </w:r>
      <w:r w:rsidR="00C32D04">
        <w:t>Value available</w:t>
      </w:r>
      <w:r w:rsidR="00CB5521">
        <w:t xml:space="preserve"> in customer’s a/c (after applicable hair cut)</w:t>
      </w:r>
      <w:r w:rsidR="00A1703B">
        <w:t xml:space="preserve"> </w:t>
      </w:r>
    </w:p>
    <w:p w:rsidR="00EE69D5" w:rsidRDefault="00EE69D5">
      <w:pPr>
        <w:numPr>
          <w:ilvl w:val="1"/>
          <w:numId w:val="7"/>
        </w:numPr>
        <w:spacing w:after="120"/>
        <w:jc w:val="both"/>
      </w:pPr>
      <w:r>
        <w:rPr>
          <w:b/>
          <w:i/>
        </w:rPr>
        <w:t xml:space="preserve">Applicable Hair Cut is 25% or VAR Margin </w:t>
      </w:r>
      <w:r w:rsidR="000616A4">
        <w:rPr>
          <w:b/>
          <w:i/>
        </w:rPr>
        <w:t>whichever</w:t>
      </w:r>
      <w:r>
        <w:rPr>
          <w:b/>
          <w:i/>
        </w:rPr>
        <w:t xml:space="preserve"> is higher.</w:t>
      </w:r>
    </w:p>
    <w:p w:rsidR="00A1703B" w:rsidRDefault="00A1703B">
      <w:pPr>
        <w:numPr>
          <w:ilvl w:val="1"/>
          <w:numId w:val="7"/>
        </w:numPr>
        <w:spacing w:after="120"/>
        <w:jc w:val="both"/>
      </w:pPr>
      <w:r>
        <w:rPr>
          <w:i/>
        </w:rPr>
        <w:t xml:space="preserve">Margin Stocks: </w:t>
      </w:r>
      <w:r>
        <w:t xml:space="preserve">Only customer stocks appearing on the approved list of NSE </w:t>
      </w:r>
      <w:r w:rsidRPr="00CB5521">
        <w:t xml:space="preserve">shall be considered for margin purposes. </w:t>
      </w:r>
      <w:r w:rsidR="00216A64" w:rsidRPr="00CB5521">
        <w:t>These stocks</w:t>
      </w:r>
      <w:r w:rsidRPr="00CB5521">
        <w:t xml:space="preserve"> would be valued after</w:t>
      </w:r>
      <w:r>
        <w:t xml:space="preserve"> applying applicable haircut.</w:t>
      </w:r>
    </w:p>
    <w:p w:rsidR="00A1703B" w:rsidRDefault="00A1703B">
      <w:pPr>
        <w:numPr>
          <w:ilvl w:val="1"/>
          <w:numId w:val="7"/>
        </w:numPr>
        <w:spacing w:after="120"/>
        <w:jc w:val="both"/>
      </w:pPr>
      <w:r>
        <w:rPr>
          <w:i/>
        </w:rPr>
        <w:t>Exposure</w:t>
      </w:r>
      <w:r>
        <w:t xml:space="preserve">: The aggregate of the customer’s  </w:t>
      </w:r>
    </w:p>
    <w:p w:rsidR="00A1703B" w:rsidRDefault="00A1703B" w:rsidP="00EE69D5">
      <w:pPr>
        <w:pStyle w:val="ListParagraph"/>
        <w:numPr>
          <w:ilvl w:val="2"/>
          <w:numId w:val="23"/>
        </w:numPr>
        <w:spacing w:after="120"/>
        <w:jc w:val="both"/>
      </w:pPr>
      <w:r>
        <w:t xml:space="preserve">Obligations arising out of net of buy &amp; sell trades awaiting settlement in the cash segment </w:t>
      </w:r>
    </w:p>
    <w:p w:rsidR="00A1703B" w:rsidRPr="00CB5521" w:rsidRDefault="00975761" w:rsidP="00EE69D5">
      <w:pPr>
        <w:pStyle w:val="ListParagraph"/>
        <w:numPr>
          <w:ilvl w:val="2"/>
          <w:numId w:val="23"/>
        </w:numPr>
        <w:spacing w:after="120"/>
        <w:jc w:val="both"/>
      </w:pPr>
      <w:r>
        <w:t>S</w:t>
      </w:r>
      <w:r w:rsidR="00A1703B">
        <w:t>pan + exposure</w:t>
      </w:r>
      <w:r>
        <w:t xml:space="preserve"> margin </w:t>
      </w:r>
      <w:r w:rsidRPr="00EE69D5">
        <w:rPr>
          <w:b/>
        </w:rPr>
        <w:t>(EM)</w:t>
      </w:r>
      <w:r w:rsidR="00A1703B">
        <w:t xml:space="preserve"> + </w:t>
      </w:r>
      <w:r>
        <w:t>MTM</w:t>
      </w:r>
      <w:r w:rsidR="00A1703B">
        <w:t xml:space="preserve"> margins underlying the customer’s open positions in the F&amp;O segment, and profit/ loss amounts that are yet to be </w:t>
      </w:r>
      <w:r w:rsidR="00A1703B" w:rsidRPr="00CB5521">
        <w:t>settled on the closed positions.</w:t>
      </w:r>
    </w:p>
    <w:p w:rsidR="00A1703B" w:rsidRDefault="00A1703B" w:rsidP="00EE69D5">
      <w:pPr>
        <w:numPr>
          <w:ilvl w:val="1"/>
          <w:numId w:val="23"/>
        </w:numPr>
        <w:spacing w:after="120"/>
        <w:jc w:val="both"/>
        <w:rPr>
          <w:highlight w:val="yellow"/>
        </w:rPr>
      </w:pPr>
      <w:r>
        <w:rPr>
          <w:i/>
        </w:rPr>
        <w:t>Exposure multiple:</w:t>
      </w:r>
      <w:r>
        <w:t xml:space="preserve"> The number of times that </w:t>
      </w:r>
      <w:r>
        <w:rPr>
          <w:i/>
        </w:rPr>
        <w:t>exposure</w:t>
      </w:r>
      <w:r>
        <w:t xml:space="preserve"> is allowed on the underlying </w:t>
      </w:r>
      <w:r w:rsidR="00975761" w:rsidRPr="00975761">
        <w:rPr>
          <w:b/>
        </w:rPr>
        <w:t>N.A.V</w:t>
      </w:r>
    </w:p>
    <w:p w:rsidR="00A1703B" w:rsidRDefault="00A1703B" w:rsidP="00EE69D5">
      <w:pPr>
        <w:numPr>
          <w:ilvl w:val="1"/>
          <w:numId w:val="23"/>
        </w:numPr>
        <w:spacing w:after="120"/>
        <w:jc w:val="both"/>
      </w:pPr>
      <w:r>
        <w:rPr>
          <w:i/>
        </w:rPr>
        <w:t>Square-off:</w:t>
      </w:r>
      <w:r>
        <w:t xml:space="preserve"> The termination of client </w:t>
      </w:r>
      <w:r>
        <w:rPr>
          <w:i/>
        </w:rPr>
        <w:t>exposures</w:t>
      </w:r>
      <w:r>
        <w:t xml:space="preserve"> on the market. Whenever the </w:t>
      </w:r>
      <w:r>
        <w:rPr>
          <w:i/>
        </w:rPr>
        <w:t>NAV</w:t>
      </w:r>
      <w:r>
        <w:t xml:space="preserve"> falls below </w:t>
      </w:r>
      <w:r w:rsidR="00975761">
        <w:t xml:space="preserve">comfort zone (50%) </w:t>
      </w:r>
      <w:r>
        <w:t xml:space="preserve">of the </w:t>
      </w:r>
      <w:r>
        <w:rPr>
          <w:i/>
        </w:rPr>
        <w:t>exposure</w:t>
      </w:r>
      <w:r>
        <w:t>.</w:t>
      </w:r>
      <w:r w:rsidR="00975761">
        <w:t xml:space="preserve"> On failure of making payments </w:t>
      </w:r>
      <w:r w:rsidR="00CB5521">
        <w:t>or</w:t>
      </w:r>
      <w:r w:rsidR="00975761">
        <w:t xml:space="preserve"> NAV falls below comfort zone, positions</w:t>
      </w:r>
      <w:r>
        <w:t xml:space="preserve"> can be </w:t>
      </w:r>
      <w:r w:rsidR="00EE69D5">
        <w:t xml:space="preserve">square off/ </w:t>
      </w:r>
      <w:r w:rsidR="00975761">
        <w:t xml:space="preserve">reduced from H.O </w:t>
      </w:r>
      <w:r>
        <w:t xml:space="preserve">at any time during the time the debit continues in the customer’s account. </w:t>
      </w:r>
    </w:p>
    <w:p w:rsidR="00A1703B" w:rsidRDefault="00A1703B">
      <w:pPr>
        <w:spacing w:after="120"/>
        <w:ind w:left="360"/>
        <w:jc w:val="both"/>
      </w:pPr>
    </w:p>
    <w:p w:rsidR="00A1703B" w:rsidRDefault="00A1703B" w:rsidP="00EE69D5">
      <w:pPr>
        <w:pStyle w:val="Heading1"/>
        <w:numPr>
          <w:ilvl w:val="0"/>
          <w:numId w:val="23"/>
        </w:numPr>
        <w:spacing w:after="120"/>
        <w:rPr>
          <w:b/>
          <w:bCs/>
        </w:rPr>
      </w:pPr>
      <w:r>
        <w:rPr>
          <w:b/>
          <w:bCs/>
        </w:rPr>
        <w:t>NATURE OF CUSTOMER TRANSACTIONS</w:t>
      </w:r>
    </w:p>
    <w:p w:rsidR="00A1703B" w:rsidRDefault="00A1703B" w:rsidP="00D04869">
      <w:pPr>
        <w:pStyle w:val="ListParagraph"/>
        <w:numPr>
          <w:ilvl w:val="1"/>
          <w:numId w:val="24"/>
        </w:numPr>
        <w:spacing w:after="120"/>
        <w:jc w:val="both"/>
      </w:pPr>
      <w:r>
        <w:t xml:space="preserve">Intraday - Cash segment: The amounts of purchase (or sale) in a scrip on any trading day that is </w:t>
      </w:r>
      <w:r w:rsidR="00CB5521">
        <w:t>square</w:t>
      </w:r>
      <w:r w:rsidR="00286886">
        <w:t>d</w:t>
      </w:r>
      <w:r w:rsidR="00CB5521">
        <w:t xml:space="preserve"> off/ </w:t>
      </w:r>
      <w:r>
        <w:t xml:space="preserve">reversed by the end of the day by making a contra sale (or purchase) of </w:t>
      </w:r>
      <w:proofErr w:type="gramStart"/>
      <w:r>
        <w:t>the  same</w:t>
      </w:r>
      <w:proofErr w:type="gramEnd"/>
      <w:r>
        <w:t xml:space="preserve"> quantity</w:t>
      </w:r>
      <w:r w:rsidR="00CB5521">
        <w:t xml:space="preserve"> in the same scrip</w:t>
      </w:r>
      <w:r>
        <w:t xml:space="preserve">, thereby nullifying the original position.  </w:t>
      </w:r>
    </w:p>
    <w:p w:rsidR="00A1703B" w:rsidRDefault="00A1703B" w:rsidP="00D04869">
      <w:pPr>
        <w:numPr>
          <w:ilvl w:val="1"/>
          <w:numId w:val="24"/>
        </w:numPr>
        <w:spacing w:after="120"/>
        <w:jc w:val="both"/>
      </w:pPr>
      <w:r>
        <w:t>Delivery trades: The net purchase or sale of a scrip in a client account that is settled by way of a delivery on T+2</w:t>
      </w:r>
      <w:r w:rsidR="00D04869">
        <w:t xml:space="preserve"> </w:t>
      </w:r>
      <w:proofErr w:type="gramStart"/>
      <w:r w:rsidR="00D04869">
        <w:t>basis</w:t>
      </w:r>
      <w:proofErr w:type="gramEnd"/>
      <w:r w:rsidR="00D04869">
        <w:t>.</w:t>
      </w:r>
    </w:p>
    <w:p w:rsidR="00A1703B" w:rsidRDefault="00A1703B">
      <w:pPr>
        <w:pStyle w:val="BodyTextIndent"/>
      </w:pPr>
      <w:r>
        <w:t xml:space="preserve">Delivery in respect of sale transactions in the cash segment has to be settled by the client by tendering securities in </w:t>
      </w:r>
      <w:proofErr w:type="spellStart"/>
      <w:r>
        <w:t>demat</w:t>
      </w:r>
      <w:proofErr w:type="spellEnd"/>
      <w:r>
        <w:t xml:space="preserve"> form (only from his/her </w:t>
      </w:r>
      <w:proofErr w:type="spellStart"/>
      <w:r>
        <w:t>demat</w:t>
      </w:r>
      <w:proofErr w:type="spellEnd"/>
      <w:r>
        <w:t xml:space="preserve"> account </w:t>
      </w:r>
      <w:r w:rsidR="00CB5521">
        <w:t>registered with the</w:t>
      </w:r>
      <w:r>
        <w:t xml:space="preserve"> </w:t>
      </w:r>
      <w:r w:rsidR="00877024">
        <w:t>Company</w:t>
      </w:r>
      <w:r>
        <w:t>) before the pay-in deadline. Els</w:t>
      </w:r>
      <w:r w:rsidR="00216A64">
        <w:t>e the client faces the risk of A</w:t>
      </w:r>
      <w:r>
        <w:t>uction</w:t>
      </w:r>
      <w:r w:rsidR="00D04869">
        <w:t>. In case of i</w:t>
      </w:r>
      <w:r w:rsidR="00BB4DC8">
        <w:t xml:space="preserve">nternal adjustment </w:t>
      </w:r>
      <w:r w:rsidR="00CB5521">
        <w:t>the same quantity</w:t>
      </w:r>
      <w:r w:rsidR="00BB4DC8">
        <w:t xml:space="preserve"> is bought from the market on T+3 </w:t>
      </w:r>
      <w:proofErr w:type="gramStart"/>
      <w:r w:rsidR="00BB4DC8">
        <w:t>basis</w:t>
      </w:r>
      <w:proofErr w:type="gramEnd"/>
      <w:r w:rsidR="00BB4DC8">
        <w:t>.</w:t>
      </w:r>
      <w:r>
        <w:t xml:space="preserve">  </w:t>
      </w:r>
    </w:p>
    <w:p w:rsidR="00A1703B" w:rsidRDefault="00A1703B" w:rsidP="00D04869">
      <w:pPr>
        <w:numPr>
          <w:ilvl w:val="2"/>
          <w:numId w:val="24"/>
        </w:numPr>
        <w:spacing w:after="120"/>
        <w:jc w:val="both"/>
      </w:pPr>
      <w:r w:rsidRPr="00FB36BD">
        <w:rPr>
          <w:b/>
          <w:i/>
          <w:iCs/>
        </w:rPr>
        <w:lastRenderedPageBreak/>
        <w:t>Prompt payment at pay-in (PPP)</w:t>
      </w:r>
      <w:r>
        <w:rPr>
          <w:i/>
          <w:iCs/>
        </w:rPr>
        <w:t xml:space="preserve">: </w:t>
      </w:r>
      <w:r>
        <w:t xml:space="preserve">Where a client makes the full </w:t>
      </w:r>
      <w:r w:rsidR="00BB4DC8">
        <w:t>payment</w:t>
      </w:r>
      <w:r>
        <w:t xml:space="preserve"> in </w:t>
      </w:r>
      <w:r w:rsidR="00BB4DC8">
        <w:t xml:space="preserve">company’s </w:t>
      </w:r>
      <w:r>
        <w:t xml:space="preserve">bank account to meet his entire obligation against the purchase transaction.   </w:t>
      </w:r>
    </w:p>
    <w:p w:rsidR="00BB4DC8" w:rsidRDefault="00BB4DC8" w:rsidP="003A4585">
      <w:pPr>
        <w:widowControl w:val="0"/>
        <w:autoSpaceDE w:val="0"/>
        <w:autoSpaceDN w:val="0"/>
        <w:adjustRightInd w:val="0"/>
        <w:rPr>
          <w:i/>
        </w:rPr>
      </w:pPr>
    </w:p>
    <w:p w:rsidR="00AE241B" w:rsidRPr="00FB36BD" w:rsidRDefault="005748B0" w:rsidP="003A4585">
      <w:pPr>
        <w:widowControl w:val="0"/>
        <w:autoSpaceDE w:val="0"/>
        <w:autoSpaceDN w:val="0"/>
        <w:adjustRightInd w:val="0"/>
        <w:rPr>
          <w:b/>
          <w:bCs/>
          <w:i/>
          <w:u w:val="single"/>
        </w:rPr>
      </w:pPr>
      <w:r>
        <w:rPr>
          <w:i/>
        </w:rPr>
        <w:t xml:space="preserve">       2.2.2  </w:t>
      </w:r>
      <w:r w:rsidRPr="00FB36BD">
        <w:rPr>
          <w:i/>
        </w:rPr>
        <w:t xml:space="preserve"> </w:t>
      </w:r>
      <w:r w:rsidR="00AE241B" w:rsidRPr="00FB36BD">
        <w:rPr>
          <w:b/>
          <w:bCs/>
          <w:i/>
          <w:u w:val="single"/>
        </w:rPr>
        <w:t xml:space="preserve">BTST Policy and Stock Buying under T+5 </w:t>
      </w:r>
      <w:proofErr w:type="gramStart"/>
      <w:r w:rsidR="00AE241B" w:rsidRPr="00FB36BD">
        <w:rPr>
          <w:b/>
          <w:bCs/>
          <w:i/>
          <w:u w:val="single"/>
        </w:rPr>
        <w:t>Policy</w:t>
      </w:r>
      <w:proofErr w:type="gramEnd"/>
    </w:p>
    <w:p w:rsidR="00AE241B" w:rsidRDefault="00AE241B" w:rsidP="00AE241B">
      <w:pPr>
        <w:widowControl w:val="0"/>
        <w:autoSpaceDE w:val="0"/>
        <w:autoSpaceDN w:val="0"/>
        <w:adjustRightInd w:val="0"/>
        <w:rPr>
          <w:rFonts w:ascii="Arial" w:hAnsi="Arial" w:cs="Arial"/>
          <w:sz w:val="20"/>
          <w:szCs w:val="20"/>
        </w:rPr>
      </w:pPr>
    </w:p>
    <w:p w:rsidR="00AE241B" w:rsidRDefault="00AE241B" w:rsidP="00AE241B">
      <w:pPr>
        <w:widowControl w:val="0"/>
        <w:autoSpaceDE w:val="0"/>
        <w:autoSpaceDN w:val="0"/>
        <w:adjustRightInd w:val="0"/>
        <w:rPr>
          <w:rFonts w:ascii="Arial" w:hAnsi="Arial" w:cs="Arial"/>
          <w:sz w:val="20"/>
          <w:szCs w:val="20"/>
        </w:rPr>
      </w:pPr>
    </w:p>
    <w:p w:rsidR="00AE241B" w:rsidRDefault="00AE241B" w:rsidP="00AE241B">
      <w:pPr>
        <w:widowControl w:val="0"/>
        <w:autoSpaceDE w:val="0"/>
        <w:autoSpaceDN w:val="0"/>
        <w:adjustRightInd w:val="0"/>
        <w:rPr>
          <w:rFonts w:ascii="Arial" w:hAnsi="Arial" w:cs="Arial"/>
          <w:b/>
          <w:sz w:val="20"/>
          <w:szCs w:val="20"/>
          <w:u w:val="single"/>
        </w:rPr>
      </w:pPr>
      <w:r>
        <w:rPr>
          <w:rFonts w:ascii="Arial" w:hAnsi="Arial" w:cs="Arial"/>
          <w:b/>
          <w:sz w:val="20"/>
          <w:szCs w:val="20"/>
          <w:u w:val="single"/>
        </w:rPr>
        <w:t>Points regarding BTST:</w:t>
      </w:r>
      <w:r w:rsidR="00BB4DC8">
        <w:rPr>
          <w:rFonts w:ascii="Arial" w:hAnsi="Arial" w:cs="Arial"/>
          <w:b/>
          <w:sz w:val="20"/>
          <w:szCs w:val="20"/>
          <w:u w:val="single"/>
        </w:rPr>
        <w:t xml:space="preserve"> (Buy Today Sell </w:t>
      </w:r>
      <w:r w:rsidR="00FB36BD">
        <w:rPr>
          <w:rFonts w:ascii="Arial" w:hAnsi="Arial" w:cs="Arial"/>
          <w:b/>
          <w:sz w:val="20"/>
          <w:szCs w:val="20"/>
          <w:u w:val="single"/>
        </w:rPr>
        <w:t>Tomorrow</w:t>
      </w:r>
      <w:r w:rsidR="00BB4DC8">
        <w:rPr>
          <w:rFonts w:ascii="Arial" w:hAnsi="Arial" w:cs="Arial"/>
          <w:b/>
          <w:sz w:val="20"/>
          <w:szCs w:val="20"/>
          <w:u w:val="single"/>
        </w:rPr>
        <w:t>)</w:t>
      </w:r>
    </w:p>
    <w:p w:rsidR="00AE241B" w:rsidRDefault="00AE241B" w:rsidP="00AE241B"/>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Client’s only from </w:t>
      </w:r>
      <w:r w:rsidR="00FB36BD">
        <w:rPr>
          <w:rFonts w:ascii="Arial" w:hAnsi="Arial" w:cs="Arial"/>
          <w:sz w:val="20"/>
          <w:szCs w:val="20"/>
        </w:rPr>
        <w:t xml:space="preserve">BO/ </w:t>
      </w:r>
      <w:r>
        <w:rPr>
          <w:rFonts w:ascii="Arial" w:hAnsi="Arial" w:cs="Arial"/>
          <w:sz w:val="20"/>
          <w:szCs w:val="20"/>
        </w:rPr>
        <w:t>ROs are allowed to do BTST, with prior approval of HO</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BTST can be permissible up to </w:t>
      </w:r>
      <w:r>
        <w:rPr>
          <w:rFonts w:ascii="Arial" w:hAnsi="Arial" w:cs="Arial"/>
          <w:b/>
          <w:bCs/>
          <w:sz w:val="20"/>
          <w:szCs w:val="20"/>
        </w:rPr>
        <w:t>2</w:t>
      </w:r>
      <w:r>
        <w:rPr>
          <w:rFonts w:ascii="Arial" w:hAnsi="Arial" w:cs="Arial"/>
          <w:sz w:val="20"/>
          <w:szCs w:val="20"/>
        </w:rPr>
        <w:t xml:space="preserve"> times of free deposit. </w:t>
      </w:r>
      <w:r w:rsidR="00FB36BD">
        <w:rPr>
          <w:rFonts w:ascii="Arial" w:hAnsi="Arial" w:cs="Arial"/>
          <w:sz w:val="20"/>
          <w:szCs w:val="20"/>
        </w:rPr>
        <w:t>For Example-</w:t>
      </w:r>
      <w:r>
        <w:rPr>
          <w:rFonts w:ascii="Arial" w:hAnsi="Arial" w:cs="Arial"/>
          <w:sz w:val="20"/>
          <w:szCs w:val="20"/>
        </w:rPr>
        <w:t xml:space="preserve"> If client has 1L financial credit then he can buy stock up to 2L </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Stock bought under BTST </w:t>
      </w:r>
      <w:r w:rsidR="00FB36BD">
        <w:rPr>
          <w:rFonts w:ascii="Arial" w:hAnsi="Arial" w:cs="Arial"/>
          <w:sz w:val="20"/>
          <w:szCs w:val="20"/>
        </w:rPr>
        <w:t>must</w:t>
      </w:r>
      <w:r>
        <w:rPr>
          <w:rFonts w:ascii="Arial" w:hAnsi="Arial" w:cs="Arial"/>
          <w:sz w:val="20"/>
          <w:szCs w:val="20"/>
        </w:rPr>
        <w:t xml:space="preserve"> be sold on next day, </w:t>
      </w:r>
      <w:r w:rsidR="00FB36BD">
        <w:rPr>
          <w:rFonts w:ascii="Arial" w:hAnsi="Arial" w:cs="Arial"/>
          <w:sz w:val="20"/>
          <w:szCs w:val="20"/>
        </w:rPr>
        <w:t>only</w:t>
      </w:r>
      <w:r w:rsidR="00BB4DC8">
        <w:rPr>
          <w:rFonts w:ascii="Arial" w:hAnsi="Arial" w:cs="Arial"/>
          <w:sz w:val="20"/>
          <w:szCs w:val="20"/>
        </w:rPr>
        <w:t xml:space="preserve"> </w:t>
      </w:r>
      <w:r>
        <w:rPr>
          <w:rFonts w:ascii="Arial" w:hAnsi="Arial" w:cs="Arial"/>
          <w:sz w:val="20"/>
          <w:szCs w:val="20"/>
        </w:rPr>
        <w:t>after selling its previous stock client can take fresh Delivery.</w:t>
      </w:r>
    </w:p>
    <w:p w:rsidR="00AE241B"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In case if the Clients Risk reaches 80% of financial </w:t>
      </w:r>
      <w:r w:rsidR="00BB4DC8">
        <w:rPr>
          <w:rFonts w:ascii="Arial" w:hAnsi="Arial" w:cs="Arial"/>
          <w:sz w:val="20"/>
          <w:szCs w:val="20"/>
        </w:rPr>
        <w:t>Ledger,</w:t>
      </w:r>
      <w:r>
        <w:rPr>
          <w:rFonts w:ascii="Arial" w:hAnsi="Arial" w:cs="Arial"/>
          <w:sz w:val="20"/>
          <w:szCs w:val="20"/>
        </w:rPr>
        <w:t xml:space="preserve"> and the client hasn't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RMS will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from its end.</w:t>
      </w:r>
    </w:p>
    <w:p w:rsidR="00AE241B" w:rsidRPr="003A4585" w:rsidRDefault="00AE241B" w:rsidP="00AE241B">
      <w:pPr>
        <w:widowControl w:val="0"/>
        <w:numPr>
          <w:ilvl w:val="0"/>
          <w:numId w:val="19"/>
        </w:numPr>
        <w:tabs>
          <w:tab w:val="clear" w:pos="540"/>
          <w:tab w:val="num" w:pos="720"/>
        </w:tabs>
        <w:autoSpaceDE w:val="0"/>
        <w:autoSpaceDN w:val="0"/>
        <w:adjustRightInd w:val="0"/>
        <w:ind w:left="720"/>
        <w:rPr>
          <w:rFonts w:ascii="Arial" w:hAnsi="Arial" w:cs="Arial"/>
          <w:sz w:val="20"/>
          <w:szCs w:val="20"/>
        </w:rPr>
      </w:pPr>
      <w:r>
        <w:rPr>
          <w:rFonts w:ascii="Arial" w:hAnsi="Arial" w:cs="Arial"/>
          <w:sz w:val="20"/>
          <w:szCs w:val="20"/>
        </w:rPr>
        <w:t xml:space="preserve">Minimum financial credit for BTST facility should be of </w:t>
      </w:r>
      <w:r>
        <w:rPr>
          <w:rFonts w:ascii="Arial" w:hAnsi="Arial" w:cs="Arial"/>
          <w:b/>
          <w:sz w:val="20"/>
          <w:szCs w:val="20"/>
        </w:rPr>
        <w:t>1L.</w:t>
      </w:r>
    </w:p>
    <w:p w:rsidR="003A4585" w:rsidRDefault="003A4585" w:rsidP="003A4585">
      <w:pPr>
        <w:widowControl w:val="0"/>
        <w:autoSpaceDE w:val="0"/>
        <w:autoSpaceDN w:val="0"/>
        <w:adjustRightInd w:val="0"/>
        <w:ind w:left="360"/>
        <w:rPr>
          <w:rFonts w:ascii="Arial" w:hAnsi="Arial" w:cs="Arial"/>
          <w:sz w:val="20"/>
          <w:szCs w:val="20"/>
        </w:rPr>
      </w:pPr>
    </w:p>
    <w:p w:rsidR="00AE241B" w:rsidRDefault="00AE241B" w:rsidP="00AE241B">
      <w:pPr>
        <w:widowControl w:val="0"/>
        <w:autoSpaceDE w:val="0"/>
        <w:autoSpaceDN w:val="0"/>
        <w:adjustRightInd w:val="0"/>
        <w:ind w:left="360"/>
        <w:rPr>
          <w:rFonts w:ascii="Arial" w:hAnsi="Arial" w:cs="Arial"/>
          <w:b/>
          <w:sz w:val="20"/>
          <w:szCs w:val="20"/>
        </w:rPr>
      </w:pPr>
    </w:p>
    <w:p w:rsidR="00AE241B" w:rsidRDefault="00AE241B" w:rsidP="00AE241B">
      <w:pPr>
        <w:widowControl w:val="0"/>
        <w:autoSpaceDE w:val="0"/>
        <w:autoSpaceDN w:val="0"/>
        <w:adjustRightInd w:val="0"/>
        <w:rPr>
          <w:rFonts w:ascii="Arial" w:hAnsi="Arial" w:cs="Arial"/>
          <w:b/>
          <w:sz w:val="20"/>
          <w:szCs w:val="20"/>
          <w:u w:val="single"/>
        </w:rPr>
      </w:pPr>
      <w:r>
        <w:rPr>
          <w:rFonts w:ascii="Arial" w:hAnsi="Arial" w:cs="Arial"/>
          <w:b/>
          <w:sz w:val="20"/>
          <w:szCs w:val="20"/>
          <w:u w:val="single"/>
        </w:rPr>
        <w:t xml:space="preserve">Points regarding Stock Buying </w:t>
      </w:r>
      <w:proofErr w:type="gramStart"/>
      <w:r>
        <w:rPr>
          <w:rFonts w:ascii="Arial" w:hAnsi="Arial" w:cs="Arial"/>
          <w:b/>
          <w:sz w:val="20"/>
          <w:szCs w:val="20"/>
          <w:u w:val="single"/>
        </w:rPr>
        <w:t>Under</w:t>
      </w:r>
      <w:proofErr w:type="gramEnd"/>
      <w:r>
        <w:rPr>
          <w:rFonts w:ascii="Arial" w:hAnsi="Arial" w:cs="Arial"/>
          <w:b/>
          <w:sz w:val="20"/>
          <w:szCs w:val="20"/>
          <w:u w:val="single"/>
        </w:rPr>
        <w:t xml:space="preserve"> T+5 Policy:</w:t>
      </w:r>
    </w:p>
    <w:p w:rsidR="003A4585" w:rsidRDefault="003A4585" w:rsidP="00AE241B">
      <w:pPr>
        <w:widowControl w:val="0"/>
        <w:autoSpaceDE w:val="0"/>
        <w:autoSpaceDN w:val="0"/>
        <w:adjustRightInd w:val="0"/>
        <w:rPr>
          <w:rFonts w:ascii="Arial" w:hAnsi="Arial" w:cs="Arial"/>
          <w:b/>
          <w:sz w:val="20"/>
          <w:szCs w:val="20"/>
          <w:u w:val="single"/>
        </w:rPr>
      </w:pP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Client’s only from </w:t>
      </w:r>
      <w:r w:rsidR="00FB36BD">
        <w:rPr>
          <w:rFonts w:ascii="Arial" w:hAnsi="Arial" w:cs="Arial"/>
          <w:sz w:val="20"/>
          <w:szCs w:val="20"/>
        </w:rPr>
        <w:t xml:space="preserve">BO/ </w:t>
      </w:r>
      <w:r>
        <w:rPr>
          <w:rFonts w:ascii="Arial" w:hAnsi="Arial" w:cs="Arial"/>
          <w:sz w:val="20"/>
          <w:szCs w:val="20"/>
        </w:rPr>
        <w:t>ROs are allowed to Buy stock under T+5 policy, with prior approval of HO</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DPC </w:t>
      </w:r>
      <w:proofErr w:type="gramStart"/>
      <w:r>
        <w:rPr>
          <w:rFonts w:ascii="Arial" w:hAnsi="Arial" w:cs="Arial"/>
          <w:b/>
          <w:bCs/>
          <w:sz w:val="20"/>
          <w:szCs w:val="20"/>
        </w:rPr>
        <w:t>18</w:t>
      </w:r>
      <w:r>
        <w:rPr>
          <w:rFonts w:ascii="Arial" w:hAnsi="Arial" w:cs="Arial"/>
          <w:sz w:val="20"/>
          <w:szCs w:val="20"/>
        </w:rPr>
        <w:t xml:space="preserve">% </w:t>
      </w:r>
      <w:proofErr w:type="spellStart"/>
      <w:r>
        <w:rPr>
          <w:rFonts w:ascii="Arial" w:hAnsi="Arial" w:cs="Arial"/>
          <w:sz w:val="20"/>
          <w:szCs w:val="20"/>
        </w:rPr>
        <w:t>p.a</w:t>
      </w:r>
      <w:proofErr w:type="spellEnd"/>
      <w:proofErr w:type="gramEnd"/>
      <w:r>
        <w:rPr>
          <w:rFonts w:ascii="Arial" w:hAnsi="Arial" w:cs="Arial"/>
          <w:sz w:val="20"/>
          <w:szCs w:val="20"/>
        </w:rPr>
        <w:t xml:space="preserve"> charged on debit balance beyond </w:t>
      </w:r>
      <w:r w:rsidR="00BB4DC8">
        <w:rPr>
          <w:rFonts w:ascii="Arial" w:hAnsi="Arial" w:cs="Arial"/>
          <w:sz w:val="20"/>
          <w:szCs w:val="20"/>
        </w:rPr>
        <w:t>T</w:t>
      </w:r>
      <w:r>
        <w:rPr>
          <w:rFonts w:ascii="Arial" w:hAnsi="Arial" w:cs="Arial"/>
          <w:sz w:val="20"/>
          <w:szCs w:val="20"/>
        </w:rPr>
        <w:t>+2.</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Minimum financial credit for stock buying under T+5 </w:t>
      </w:r>
      <w:r w:rsidR="00E35CD5">
        <w:rPr>
          <w:rFonts w:ascii="Arial" w:hAnsi="Arial" w:cs="Arial"/>
          <w:sz w:val="20"/>
          <w:szCs w:val="20"/>
        </w:rPr>
        <w:t>facilities</w:t>
      </w:r>
      <w:r>
        <w:rPr>
          <w:rFonts w:ascii="Arial" w:hAnsi="Arial" w:cs="Arial"/>
          <w:sz w:val="20"/>
          <w:szCs w:val="20"/>
        </w:rPr>
        <w:t xml:space="preserve"> should be of </w:t>
      </w:r>
      <w:r>
        <w:rPr>
          <w:rFonts w:ascii="Arial" w:hAnsi="Arial" w:cs="Arial"/>
          <w:b/>
          <w:sz w:val="20"/>
          <w:szCs w:val="20"/>
        </w:rPr>
        <w:t>1L.</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Buying can be permissible up to </w:t>
      </w:r>
      <w:r>
        <w:rPr>
          <w:rFonts w:ascii="Arial" w:hAnsi="Arial" w:cs="Arial"/>
          <w:b/>
          <w:bCs/>
          <w:sz w:val="20"/>
          <w:szCs w:val="20"/>
        </w:rPr>
        <w:t>2</w:t>
      </w:r>
      <w:r>
        <w:rPr>
          <w:rFonts w:ascii="Arial" w:hAnsi="Arial" w:cs="Arial"/>
          <w:sz w:val="20"/>
          <w:szCs w:val="20"/>
        </w:rPr>
        <w:t xml:space="preserve"> times of financial credit. </w:t>
      </w:r>
      <w:r w:rsidR="00FB36BD">
        <w:rPr>
          <w:rFonts w:ascii="Arial" w:hAnsi="Arial" w:cs="Arial"/>
          <w:sz w:val="20"/>
          <w:szCs w:val="20"/>
        </w:rPr>
        <w:t>For Example-</w:t>
      </w:r>
      <w:r>
        <w:rPr>
          <w:rFonts w:ascii="Arial" w:hAnsi="Arial" w:cs="Arial"/>
          <w:sz w:val="20"/>
          <w:szCs w:val="20"/>
        </w:rPr>
        <w:t xml:space="preserve"> If client has 1L financial credit then he can buy stock up to 2L </w:t>
      </w:r>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Stock bought under this facility should be sold on T+5 day, if fails RMS will have the right to Square off position.</w:t>
      </w:r>
      <w:r w:rsidR="00BB4DC8">
        <w:rPr>
          <w:rFonts w:ascii="Arial" w:hAnsi="Arial" w:cs="Arial"/>
          <w:sz w:val="20"/>
          <w:szCs w:val="20"/>
        </w:rPr>
        <w:t xml:space="preserve"> Further </w:t>
      </w:r>
      <w:r>
        <w:rPr>
          <w:rFonts w:ascii="Arial" w:hAnsi="Arial" w:cs="Arial"/>
          <w:sz w:val="20"/>
          <w:szCs w:val="20"/>
        </w:rPr>
        <w:t xml:space="preserve">T+5 </w:t>
      </w:r>
      <w:r w:rsidR="00BB4DC8">
        <w:rPr>
          <w:rFonts w:ascii="Arial" w:hAnsi="Arial" w:cs="Arial"/>
          <w:sz w:val="20"/>
          <w:szCs w:val="20"/>
        </w:rPr>
        <w:t>facilities</w:t>
      </w:r>
      <w:r>
        <w:rPr>
          <w:rFonts w:ascii="Arial" w:hAnsi="Arial" w:cs="Arial"/>
          <w:sz w:val="20"/>
          <w:szCs w:val="20"/>
        </w:rPr>
        <w:t xml:space="preserve"> will be discontinued in failed cases</w:t>
      </w:r>
      <w:proofErr w:type="gramStart"/>
      <w:r w:rsidR="00FB36BD">
        <w:rPr>
          <w:rFonts w:ascii="Arial" w:hAnsi="Arial" w:cs="Arial"/>
          <w:sz w:val="20"/>
          <w:szCs w:val="20"/>
        </w:rPr>
        <w:t>.</w:t>
      </w:r>
      <w:r>
        <w:rPr>
          <w:rFonts w:ascii="Arial" w:hAnsi="Arial" w:cs="Arial"/>
          <w:sz w:val="20"/>
          <w:szCs w:val="20"/>
        </w:rPr>
        <w:t>.</w:t>
      </w:r>
      <w:proofErr w:type="gramEnd"/>
    </w:p>
    <w:p w:rsidR="00AE241B" w:rsidRDefault="00AE241B" w:rsidP="00AE241B">
      <w:pPr>
        <w:widowControl w:val="0"/>
        <w:numPr>
          <w:ilvl w:val="0"/>
          <w:numId w:val="20"/>
        </w:numPr>
        <w:autoSpaceDE w:val="0"/>
        <w:autoSpaceDN w:val="0"/>
        <w:adjustRightInd w:val="0"/>
        <w:rPr>
          <w:rFonts w:ascii="Arial" w:hAnsi="Arial" w:cs="Arial"/>
          <w:sz w:val="20"/>
          <w:szCs w:val="20"/>
        </w:rPr>
      </w:pPr>
      <w:r>
        <w:rPr>
          <w:rFonts w:ascii="Arial" w:hAnsi="Arial" w:cs="Arial"/>
          <w:sz w:val="20"/>
          <w:szCs w:val="20"/>
        </w:rPr>
        <w:t xml:space="preserve">In case if the Clients Risk reaches 80% of financial </w:t>
      </w:r>
      <w:r w:rsidR="00FB36BD">
        <w:rPr>
          <w:rFonts w:ascii="Arial" w:hAnsi="Arial" w:cs="Arial"/>
          <w:sz w:val="20"/>
          <w:szCs w:val="20"/>
        </w:rPr>
        <w:t xml:space="preserve">Ledger in between T-2 to T-5 </w:t>
      </w:r>
      <w:r>
        <w:rPr>
          <w:rFonts w:ascii="Arial" w:hAnsi="Arial" w:cs="Arial"/>
          <w:sz w:val="20"/>
          <w:szCs w:val="20"/>
        </w:rPr>
        <w:t xml:space="preserve"> and the client hasn't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RMS will </w:t>
      </w:r>
      <w:r w:rsidR="00BB4DC8">
        <w:rPr>
          <w:rFonts w:ascii="Arial" w:hAnsi="Arial" w:cs="Arial"/>
          <w:sz w:val="20"/>
          <w:szCs w:val="20"/>
        </w:rPr>
        <w:t xml:space="preserve">square off/ </w:t>
      </w:r>
      <w:r>
        <w:rPr>
          <w:rFonts w:ascii="Arial" w:hAnsi="Arial" w:cs="Arial"/>
          <w:sz w:val="20"/>
          <w:szCs w:val="20"/>
        </w:rPr>
        <w:t xml:space="preserve">cut the </w:t>
      </w:r>
      <w:proofErr w:type="spellStart"/>
      <w:r>
        <w:rPr>
          <w:rFonts w:ascii="Arial" w:hAnsi="Arial" w:cs="Arial"/>
          <w:sz w:val="20"/>
          <w:szCs w:val="20"/>
        </w:rPr>
        <w:t>sauda</w:t>
      </w:r>
      <w:proofErr w:type="spellEnd"/>
      <w:r>
        <w:rPr>
          <w:rFonts w:ascii="Arial" w:hAnsi="Arial" w:cs="Arial"/>
          <w:sz w:val="20"/>
          <w:szCs w:val="20"/>
        </w:rPr>
        <w:t xml:space="preserve"> from its end.</w:t>
      </w:r>
    </w:p>
    <w:p w:rsidR="00AE241B" w:rsidRDefault="00AE241B" w:rsidP="00AE241B">
      <w:pPr>
        <w:widowControl w:val="0"/>
        <w:autoSpaceDE w:val="0"/>
        <w:autoSpaceDN w:val="0"/>
        <w:adjustRightInd w:val="0"/>
        <w:ind w:left="360"/>
        <w:rPr>
          <w:rFonts w:ascii="Arial" w:hAnsi="Arial" w:cs="Arial"/>
          <w:sz w:val="20"/>
          <w:szCs w:val="20"/>
        </w:rPr>
      </w:pPr>
    </w:p>
    <w:p w:rsidR="00A1703B" w:rsidRDefault="00A1703B" w:rsidP="00D04869">
      <w:pPr>
        <w:numPr>
          <w:ilvl w:val="1"/>
          <w:numId w:val="24"/>
        </w:numPr>
        <w:spacing w:after="120"/>
        <w:jc w:val="both"/>
      </w:pPr>
      <w:r w:rsidRPr="00763446">
        <w:rPr>
          <w:b/>
          <w:i/>
          <w:iCs/>
        </w:rPr>
        <w:t>Derivatives segment of NSE</w:t>
      </w:r>
      <w:r>
        <w:rPr>
          <w:i/>
          <w:iCs/>
        </w:rPr>
        <w:t xml:space="preserve">: </w:t>
      </w:r>
      <w:r>
        <w:t xml:space="preserve">All clients must </w:t>
      </w:r>
      <w:r w:rsidR="001E7A02">
        <w:t xml:space="preserve">maintain </w:t>
      </w:r>
      <w:r>
        <w:t xml:space="preserve">an upfront initial margin </w:t>
      </w:r>
      <w:r w:rsidR="001E7A02">
        <w:t>to trade in F&amp;O segment</w:t>
      </w:r>
      <w:r>
        <w:t xml:space="preserve">. It will constitute the sum of SPAN and exposure </w:t>
      </w:r>
      <w:r w:rsidR="00E35CD5">
        <w:t>margins (</w:t>
      </w:r>
      <w:r w:rsidR="001E7A02">
        <w:t>EM) as per exchange</w:t>
      </w:r>
      <w:r w:rsidR="00BB4DC8">
        <w:t>.</w:t>
      </w:r>
      <w:r w:rsidR="001E7A02">
        <w:t xml:space="preserve"> MTM losses should be</w:t>
      </w:r>
      <w:r>
        <w:t xml:space="preserve"> settled on a T+1 basis. </w:t>
      </w:r>
    </w:p>
    <w:p w:rsidR="00A1703B" w:rsidRDefault="00A1703B"/>
    <w:p w:rsidR="00A1703B" w:rsidRDefault="00A1703B" w:rsidP="00D04869">
      <w:pPr>
        <w:numPr>
          <w:ilvl w:val="0"/>
          <w:numId w:val="24"/>
        </w:numPr>
        <w:rPr>
          <w:b/>
          <w:bCs/>
          <w:u w:val="single"/>
        </w:rPr>
      </w:pPr>
      <w:r>
        <w:rPr>
          <w:b/>
          <w:bCs/>
          <w:u w:val="single"/>
        </w:rPr>
        <w:t>DEFAULT EXPOSURE MULTIPLES AND THEIR MANAGEMENT</w:t>
      </w:r>
    </w:p>
    <w:p w:rsidR="00A1703B" w:rsidRDefault="00A1703B">
      <w:pPr>
        <w:rPr>
          <w:b/>
          <w:bCs/>
          <w:u w:val="single"/>
        </w:rPr>
      </w:pPr>
    </w:p>
    <w:p w:rsidR="00A1703B" w:rsidRDefault="00A1703B" w:rsidP="007F13EF">
      <w:pPr>
        <w:pStyle w:val="ListParagraph"/>
        <w:numPr>
          <w:ilvl w:val="1"/>
          <w:numId w:val="22"/>
        </w:numPr>
      </w:pPr>
      <w:r>
        <w:t>Default Exposure Multiples of NAV (in normal course) shall be as under:</w:t>
      </w:r>
    </w:p>
    <w:p w:rsidR="00A1703B" w:rsidRDefault="00A1703B">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2757"/>
      </w:tblGrid>
      <w:tr w:rsidR="00A1703B">
        <w:trPr>
          <w:trHeight w:val="1133"/>
          <w:jc w:val="center"/>
        </w:trPr>
        <w:tc>
          <w:tcPr>
            <w:tcW w:w="3961" w:type="dxa"/>
          </w:tcPr>
          <w:p w:rsidR="00A1703B" w:rsidRDefault="00A1703B">
            <w:r>
              <w:rPr>
                <w:b/>
              </w:rPr>
              <w:t>Cash segment</w:t>
            </w:r>
            <w:r>
              <w:t xml:space="preserve"> (Transactions in approved list of securities notified at the beginning of each month)</w:t>
            </w:r>
          </w:p>
          <w:p w:rsidR="00A1703B" w:rsidRDefault="00A1703B"/>
        </w:tc>
        <w:tc>
          <w:tcPr>
            <w:tcW w:w="2757" w:type="dxa"/>
          </w:tcPr>
          <w:p w:rsidR="00A1703B" w:rsidRDefault="00A1703B">
            <w:pPr>
              <w:jc w:val="center"/>
            </w:pPr>
          </w:p>
        </w:tc>
      </w:tr>
      <w:tr w:rsidR="00A1703B">
        <w:trPr>
          <w:trHeight w:val="276"/>
          <w:jc w:val="center"/>
        </w:trPr>
        <w:tc>
          <w:tcPr>
            <w:tcW w:w="3961" w:type="dxa"/>
          </w:tcPr>
          <w:p w:rsidR="00A1703B" w:rsidRDefault="00A1703B">
            <w:pPr>
              <w:jc w:val="right"/>
            </w:pPr>
            <w:r>
              <w:t>Intra-day</w:t>
            </w:r>
          </w:p>
        </w:tc>
        <w:tc>
          <w:tcPr>
            <w:tcW w:w="2757" w:type="dxa"/>
          </w:tcPr>
          <w:p w:rsidR="00A1703B" w:rsidRDefault="0023746F" w:rsidP="0023746F">
            <w:pPr>
              <w:jc w:val="center"/>
            </w:pPr>
            <w:r>
              <w:t>3-5</w:t>
            </w:r>
            <w:r w:rsidR="00763446">
              <w:t>x</w:t>
            </w:r>
            <w:r w:rsidR="001E7A02">
              <w:t xml:space="preserve"> (Subject to approval)</w:t>
            </w:r>
          </w:p>
        </w:tc>
      </w:tr>
      <w:tr w:rsidR="00A1703B">
        <w:trPr>
          <w:trHeight w:val="276"/>
          <w:jc w:val="center"/>
        </w:trPr>
        <w:tc>
          <w:tcPr>
            <w:tcW w:w="3961" w:type="dxa"/>
          </w:tcPr>
          <w:p w:rsidR="00A1703B" w:rsidRDefault="00A1703B">
            <w:pPr>
              <w:jc w:val="right"/>
            </w:pPr>
            <w:r>
              <w:t>Delivery PPP</w:t>
            </w:r>
          </w:p>
        </w:tc>
        <w:tc>
          <w:tcPr>
            <w:tcW w:w="2757" w:type="dxa"/>
          </w:tcPr>
          <w:p w:rsidR="00A1703B" w:rsidRDefault="00A1703B">
            <w:pPr>
              <w:jc w:val="center"/>
            </w:pPr>
            <w:r>
              <w:t>2x</w:t>
            </w:r>
            <w:r w:rsidR="001E7A02">
              <w:t xml:space="preserve"> (Subject to approval) </w:t>
            </w:r>
          </w:p>
        </w:tc>
      </w:tr>
      <w:tr w:rsidR="00A1703B">
        <w:trPr>
          <w:trHeight w:val="276"/>
          <w:jc w:val="center"/>
        </w:trPr>
        <w:tc>
          <w:tcPr>
            <w:tcW w:w="3961" w:type="dxa"/>
          </w:tcPr>
          <w:p w:rsidR="00A1703B" w:rsidRDefault="00A1703B">
            <w:pPr>
              <w:jc w:val="right"/>
            </w:pPr>
            <w:r>
              <w:t>BTST</w:t>
            </w:r>
          </w:p>
        </w:tc>
        <w:tc>
          <w:tcPr>
            <w:tcW w:w="2757" w:type="dxa"/>
          </w:tcPr>
          <w:p w:rsidR="00A1703B" w:rsidRDefault="00A1703B" w:rsidP="00763446">
            <w:pPr>
              <w:ind w:left="-110" w:firstLine="110"/>
              <w:jc w:val="center"/>
            </w:pPr>
            <w:r>
              <w:t>2x</w:t>
            </w:r>
            <w:r w:rsidR="001E7A02">
              <w:t>(Subject to approval)</w:t>
            </w:r>
          </w:p>
        </w:tc>
      </w:tr>
      <w:tr w:rsidR="00FC6CDC">
        <w:trPr>
          <w:trHeight w:val="276"/>
          <w:jc w:val="center"/>
        </w:trPr>
        <w:tc>
          <w:tcPr>
            <w:tcW w:w="3961" w:type="dxa"/>
          </w:tcPr>
          <w:p w:rsidR="00FC6CDC" w:rsidRDefault="00FC6CDC" w:rsidP="00CD0815">
            <w:pPr>
              <w:jc w:val="right"/>
            </w:pPr>
            <w:r>
              <w:t>Stock buying under T+5 policy</w:t>
            </w:r>
          </w:p>
        </w:tc>
        <w:tc>
          <w:tcPr>
            <w:tcW w:w="2757" w:type="dxa"/>
          </w:tcPr>
          <w:p w:rsidR="00FC6CDC" w:rsidRDefault="00FC6CDC" w:rsidP="00CD0815">
            <w:pPr>
              <w:jc w:val="center"/>
            </w:pPr>
            <w:r>
              <w:t>2x(Subject to approval)</w:t>
            </w:r>
          </w:p>
        </w:tc>
      </w:tr>
      <w:tr w:rsidR="00FC6CDC">
        <w:trPr>
          <w:trHeight w:val="276"/>
          <w:jc w:val="center"/>
        </w:trPr>
        <w:tc>
          <w:tcPr>
            <w:tcW w:w="3961" w:type="dxa"/>
          </w:tcPr>
          <w:p w:rsidR="00FC6CDC" w:rsidRDefault="00FC6CDC">
            <w:pPr>
              <w:jc w:val="right"/>
            </w:pPr>
          </w:p>
        </w:tc>
        <w:tc>
          <w:tcPr>
            <w:tcW w:w="2757" w:type="dxa"/>
          </w:tcPr>
          <w:p w:rsidR="00FC6CDC" w:rsidRDefault="00FC6CDC">
            <w:pPr>
              <w:jc w:val="center"/>
            </w:pPr>
          </w:p>
        </w:tc>
      </w:tr>
      <w:tr w:rsidR="00FC6CDC">
        <w:trPr>
          <w:trHeight w:val="842"/>
          <w:jc w:val="center"/>
        </w:trPr>
        <w:tc>
          <w:tcPr>
            <w:tcW w:w="3961" w:type="dxa"/>
          </w:tcPr>
          <w:p w:rsidR="00FC6CDC" w:rsidRDefault="00FC6CDC" w:rsidP="00BB4DC8">
            <w:r>
              <w:rPr>
                <w:b/>
              </w:rPr>
              <w:t>Cash segment</w:t>
            </w:r>
            <w:r>
              <w:t xml:space="preserve"> (Transactions in other securities)</w:t>
            </w:r>
          </w:p>
        </w:tc>
        <w:tc>
          <w:tcPr>
            <w:tcW w:w="2757" w:type="dxa"/>
          </w:tcPr>
          <w:p w:rsidR="00FC6CDC" w:rsidRDefault="00FC6CDC">
            <w:pPr>
              <w:jc w:val="center"/>
            </w:pPr>
          </w:p>
        </w:tc>
      </w:tr>
      <w:tr w:rsidR="00FC6CDC">
        <w:trPr>
          <w:trHeight w:val="276"/>
          <w:jc w:val="center"/>
        </w:trPr>
        <w:tc>
          <w:tcPr>
            <w:tcW w:w="3961" w:type="dxa"/>
          </w:tcPr>
          <w:p w:rsidR="00FC6CDC" w:rsidRDefault="00FC6CDC">
            <w:pPr>
              <w:jc w:val="right"/>
            </w:pPr>
            <w:r>
              <w:t>Intra-day</w:t>
            </w:r>
          </w:p>
        </w:tc>
        <w:tc>
          <w:tcPr>
            <w:tcW w:w="2757" w:type="dxa"/>
          </w:tcPr>
          <w:p w:rsidR="00FC6CDC" w:rsidRDefault="00FC6CDC">
            <w:pPr>
              <w:jc w:val="center"/>
            </w:pPr>
            <w:r>
              <w:t>1x (Subject to approval)</w:t>
            </w:r>
          </w:p>
        </w:tc>
      </w:tr>
      <w:tr w:rsidR="00FC6CDC">
        <w:trPr>
          <w:trHeight w:val="276"/>
          <w:jc w:val="center"/>
        </w:trPr>
        <w:tc>
          <w:tcPr>
            <w:tcW w:w="3961" w:type="dxa"/>
          </w:tcPr>
          <w:p w:rsidR="00FC6CDC" w:rsidRDefault="00FC6CDC">
            <w:pPr>
              <w:jc w:val="right"/>
            </w:pPr>
            <w:r>
              <w:t>Delivery PPP</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jc w:val="right"/>
            </w:pPr>
            <w:r>
              <w:t>BTST</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jc w:val="right"/>
            </w:pPr>
            <w:r>
              <w:t>Stock buying under T+5 policy</w:t>
            </w:r>
          </w:p>
        </w:tc>
        <w:tc>
          <w:tcPr>
            <w:tcW w:w="2757" w:type="dxa"/>
          </w:tcPr>
          <w:p w:rsidR="00FC6CDC" w:rsidRDefault="00FC6CDC">
            <w:pPr>
              <w:jc w:val="center"/>
            </w:pPr>
            <w:r>
              <w:t>1x(Subject to approval)</w:t>
            </w:r>
          </w:p>
        </w:tc>
      </w:tr>
      <w:tr w:rsidR="00FC6CDC">
        <w:trPr>
          <w:trHeight w:val="276"/>
          <w:jc w:val="center"/>
        </w:trPr>
        <w:tc>
          <w:tcPr>
            <w:tcW w:w="3961" w:type="dxa"/>
          </w:tcPr>
          <w:p w:rsidR="00FC6CDC" w:rsidRDefault="00FC6CDC">
            <w:pPr>
              <w:rPr>
                <w:b/>
              </w:rPr>
            </w:pPr>
            <w:r>
              <w:rPr>
                <w:b/>
              </w:rPr>
              <w:t>F&amp;O segment</w:t>
            </w:r>
          </w:p>
        </w:tc>
        <w:tc>
          <w:tcPr>
            <w:tcW w:w="2757" w:type="dxa"/>
          </w:tcPr>
          <w:p w:rsidR="00FC6CDC" w:rsidRDefault="00FC6CDC">
            <w:pPr>
              <w:jc w:val="center"/>
            </w:pPr>
          </w:p>
        </w:tc>
      </w:tr>
      <w:tr w:rsidR="00FC6CDC">
        <w:trPr>
          <w:trHeight w:val="291"/>
          <w:jc w:val="center"/>
        </w:trPr>
        <w:tc>
          <w:tcPr>
            <w:tcW w:w="3961" w:type="dxa"/>
          </w:tcPr>
          <w:p w:rsidR="00FC6CDC" w:rsidRDefault="009612EC">
            <w:pPr>
              <w:jc w:val="right"/>
            </w:pPr>
            <w:r>
              <w:t>Futures</w:t>
            </w:r>
          </w:p>
          <w:p w:rsidR="009612EC" w:rsidRDefault="009612EC">
            <w:pPr>
              <w:jc w:val="right"/>
            </w:pPr>
            <w:r>
              <w:t>Options</w:t>
            </w:r>
          </w:p>
        </w:tc>
        <w:tc>
          <w:tcPr>
            <w:tcW w:w="2757" w:type="dxa"/>
          </w:tcPr>
          <w:p w:rsidR="009612EC" w:rsidRDefault="00E7310E">
            <w:pPr>
              <w:jc w:val="center"/>
            </w:pPr>
            <w:r>
              <w:t>1</w:t>
            </w:r>
            <w:r w:rsidR="00FC6CDC">
              <w:t>x</w:t>
            </w:r>
            <w:r w:rsidR="009612EC">
              <w:t xml:space="preserve"> of N.A.V</w:t>
            </w:r>
          </w:p>
          <w:p w:rsidR="00FC6CDC" w:rsidRDefault="009612EC">
            <w:pPr>
              <w:jc w:val="center"/>
            </w:pPr>
            <w:r>
              <w:t>On Fin Cr Bal.</w:t>
            </w:r>
            <w:r w:rsidR="009F3E8C">
              <w:t>(4.1.3)</w:t>
            </w:r>
          </w:p>
          <w:p w:rsidR="009612EC" w:rsidRDefault="009612EC">
            <w:pPr>
              <w:jc w:val="center"/>
            </w:pPr>
          </w:p>
        </w:tc>
      </w:tr>
    </w:tbl>
    <w:p w:rsidR="00A1703B" w:rsidRDefault="00A1703B"/>
    <w:p w:rsidR="00A1703B" w:rsidRDefault="00A1703B">
      <w:pPr>
        <w:ind w:left="360"/>
      </w:pPr>
    </w:p>
    <w:p w:rsidR="00A1703B" w:rsidRDefault="00A1703B" w:rsidP="007F13EF">
      <w:pPr>
        <w:numPr>
          <w:ilvl w:val="1"/>
          <w:numId w:val="22"/>
        </w:numPr>
      </w:pPr>
      <w:r>
        <w:t>Notes:</w:t>
      </w:r>
    </w:p>
    <w:p w:rsidR="00A1703B" w:rsidRDefault="00A1703B">
      <w:pPr>
        <w:jc w:val="both"/>
      </w:pPr>
    </w:p>
    <w:p w:rsidR="00A1703B" w:rsidRDefault="00A1703B" w:rsidP="007F13EF">
      <w:pPr>
        <w:numPr>
          <w:ilvl w:val="2"/>
          <w:numId w:val="22"/>
        </w:numPr>
        <w:jc w:val="both"/>
      </w:pPr>
      <w:r>
        <w:t xml:space="preserve">Span + Exposure margin value would be specific to the underlying F&amp;O positions and as determined by the Exchanges.  This is to be collected as initial </w:t>
      </w:r>
      <w:r>
        <w:rPr>
          <w:i/>
        </w:rPr>
        <w:t xml:space="preserve">margin, </w:t>
      </w:r>
      <w:r>
        <w:t>preferably in cash.</w:t>
      </w:r>
    </w:p>
    <w:p w:rsidR="00A1703B" w:rsidRDefault="00A1703B" w:rsidP="007F13EF">
      <w:pPr>
        <w:numPr>
          <w:ilvl w:val="2"/>
          <w:numId w:val="22"/>
        </w:numPr>
        <w:jc w:val="both"/>
      </w:pPr>
      <w:r>
        <w:t>The ‘Mark to Market’ charge to be collected from F&amp;O customers in cash only.</w:t>
      </w:r>
    </w:p>
    <w:p w:rsidR="00A1703B" w:rsidRDefault="00A1703B" w:rsidP="007F13EF">
      <w:pPr>
        <w:numPr>
          <w:ilvl w:val="2"/>
          <w:numId w:val="22"/>
        </w:numPr>
        <w:jc w:val="both"/>
      </w:pPr>
      <w:r>
        <w:t xml:space="preserve">The above multipliers can be changed any time by the </w:t>
      </w:r>
      <w:r w:rsidR="009612EC">
        <w:t>Company</w:t>
      </w:r>
      <w:r>
        <w:t xml:space="preserve">. </w:t>
      </w:r>
    </w:p>
    <w:p w:rsidR="00A1703B" w:rsidRDefault="00A1703B">
      <w:pPr>
        <w:jc w:val="both"/>
      </w:pPr>
    </w:p>
    <w:p w:rsidR="00A1703B" w:rsidRDefault="00A1703B" w:rsidP="007F13EF">
      <w:pPr>
        <w:numPr>
          <w:ilvl w:val="1"/>
          <w:numId w:val="22"/>
        </w:numPr>
        <w:spacing w:after="120"/>
        <w:jc w:val="both"/>
      </w:pPr>
      <w:r>
        <w:rPr>
          <w:i/>
          <w:iCs/>
        </w:rPr>
        <w:t>Concentration ceilings</w:t>
      </w:r>
    </w:p>
    <w:p w:rsidR="00A1703B" w:rsidRDefault="00A1703B" w:rsidP="007F13EF">
      <w:pPr>
        <w:numPr>
          <w:ilvl w:val="2"/>
          <w:numId w:val="22"/>
        </w:numPr>
        <w:spacing w:after="120"/>
        <w:jc w:val="both"/>
      </w:pPr>
      <w:r>
        <w:rPr>
          <w:i/>
          <w:iCs/>
        </w:rPr>
        <w:t>For stocks taken as collateral</w:t>
      </w:r>
      <w:r>
        <w:t xml:space="preserve">: No single stock taken as </w:t>
      </w:r>
      <w:r w:rsidR="00877024">
        <w:t>collateral</w:t>
      </w:r>
      <w:r>
        <w:t xml:space="preserve"> across all clients should be more than 25% of its average traded volumes (average worked out over previous month’s volumes on NSE and BSE). This ceiling will apply on all approved securities accepted as collateral, other than stocks constituting the NIFTY. </w:t>
      </w:r>
    </w:p>
    <w:p w:rsidR="00A1703B" w:rsidRDefault="00A1703B" w:rsidP="007F13EF">
      <w:pPr>
        <w:numPr>
          <w:ilvl w:val="1"/>
          <w:numId w:val="22"/>
        </w:numPr>
        <w:spacing w:after="120"/>
        <w:ind w:left="1152"/>
        <w:jc w:val="both"/>
      </w:pPr>
      <w:r>
        <w:t>The client must square-off all positions that have been created on an intra-day basis before 15:</w:t>
      </w:r>
      <w:r w:rsidR="00A84C82">
        <w:t>15</w:t>
      </w:r>
      <w:r>
        <w:t xml:space="preserve"> hrs. </w:t>
      </w:r>
      <w:r w:rsidR="008A7A6B">
        <w:t>After</w:t>
      </w:r>
      <w:r w:rsidR="00A84C82">
        <w:t xml:space="preserve"> that all intraday positions</w:t>
      </w:r>
      <w:r w:rsidR="008A7A6B">
        <w:t>, RMS</w:t>
      </w:r>
      <w:r w:rsidR="00A84C82">
        <w:t xml:space="preserve"> will square of</w:t>
      </w:r>
      <w:r w:rsidR="008A7A6B">
        <w:t>f</w:t>
      </w:r>
      <w:r w:rsidR="00A84C82">
        <w:t xml:space="preserve"> </w:t>
      </w:r>
      <w:r w:rsidR="008A7A6B">
        <w:t>automatically between 15.15-15.30 hrs.</w:t>
      </w:r>
      <w:r>
        <w:t xml:space="preserve"> RMS shall not bear any responsibility of any nature whatsoever</w:t>
      </w:r>
      <w:r w:rsidR="008A7A6B">
        <w:t>.</w:t>
      </w:r>
    </w:p>
    <w:p w:rsidR="00A1703B" w:rsidRDefault="00A1703B">
      <w:pPr>
        <w:spacing w:after="120"/>
      </w:pPr>
    </w:p>
    <w:p w:rsidR="00A1703B" w:rsidRDefault="00A1703B" w:rsidP="007F13EF">
      <w:pPr>
        <w:pStyle w:val="Heading1"/>
        <w:numPr>
          <w:ilvl w:val="0"/>
          <w:numId w:val="22"/>
        </w:numPr>
        <w:spacing w:after="120"/>
        <w:rPr>
          <w:b/>
          <w:bCs/>
        </w:rPr>
      </w:pPr>
      <w:r>
        <w:rPr>
          <w:b/>
          <w:bCs/>
        </w:rPr>
        <w:t xml:space="preserve">MANAGEMENT OF RISK  </w:t>
      </w:r>
    </w:p>
    <w:p w:rsidR="00A1703B" w:rsidRPr="007F13EF" w:rsidRDefault="00A1703B" w:rsidP="007F13EF">
      <w:pPr>
        <w:numPr>
          <w:ilvl w:val="1"/>
          <w:numId w:val="22"/>
        </w:numPr>
        <w:spacing w:after="120"/>
        <w:ind w:left="1890" w:hanging="630"/>
        <w:rPr>
          <w:b/>
        </w:rPr>
      </w:pPr>
      <w:r w:rsidRPr="007F13EF">
        <w:rPr>
          <w:b/>
        </w:rPr>
        <w:t>Futures and Options</w:t>
      </w:r>
    </w:p>
    <w:p w:rsidR="00A1703B" w:rsidRDefault="00A1703B" w:rsidP="007F13EF">
      <w:pPr>
        <w:numPr>
          <w:ilvl w:val="2"/>
          <w:numId w:val="22"/>
        </w:numPr>
        <w:spacing w:after="120"/>
        <w:jc w:val="both"/>
      </w:pPr>
      <w:r>
        <w:t xml:space="preserve">The clients must settle the debits, if any, arising out of MTM before settlement. Since due to current banking system, timely payments cannot be received from the clients on a T+1 </w:t>
      </w:r>
      <w:r w:rsidR="0023746F">
        <w:t>basis;</w:t>
      </w:r>
      <w:r>
        <w:t xml:space="preserve"> therefore clients </w:t>
      </w:r>
      <w:r w:rsidR="008A7A6B">
        <w:t>are</w:t>
      </w:r>
      <w:r>
        <w:t xml:space="preserve"> advised to keep sufficient cash balances</w:t>
      </w:r>
      <w:r w:rsidR="008A7A6B">
        <w:t xml:space="preserve"> in the financial ledger</w:t>
      </w:r>
      <w:r>
        <w:t xml:space="preserve">.  </w:t>
      </w:r>
    </w:p>
    <w:p w:rsidR="00A1703B" w:rsidRDefault="00A1703B" w:rsidP="007F13EF">
      <w:pPr>
        <w:numPr>
          <w:ilvl w:val="2"/>
          <w:numId w:val="22"/>
        </w:numPr>
        <w:spacing w:after="120"/>
        <w:jc w:val="both"/>
      </w:pPr>
      <w:r>
        <w:t>Square-off in res</w:t>
      </w:r>
      <w:r w:rsidR="00611111">
        <w:t>p</w:t>
      </w:r>
      <w:r>
        <w:t>ect of client will happen in case of F&amp;O positions whenever either of the following two conditions occur:</w:t>
      </w:r>
    </w:p>
    <w:p w:rsidR="00A1703B" w:rsidRDefault="00A1703B" w:rsidP="007F13EF">
      <w:pPr>
        <w:numPr>
          <w:ilvl w:val="3"/>
          <w:numId w:val="22"/>
        </w:numPr>
        <w:spacing w:after="120"/>
        <w:ind w:left="1890"/>
        <w:jc w:val="both"/>
      </w:pPr>
      <w:r>
        <w:lastRenderedPageBreak/>
        <w:t xml:space="preserve">Against MTM: Such square-offs can take place any time during the trading day. </w:t>
      </w:r>
      <w:r w:rsidR="0023746F">
        <w:t xml:space="preserve">A) </w:t>
      </w:r>
      <w:r>
        <w:t xml:space="preserve">When the MTM losses reach </w:t>
      </w:r>
      <w:proofErr w:type="spellStart"/>
      <w:r>
        <w:t>upto</w:t>
      </w:r>
      <w:proofErr w:type="spellEnd"/>
      <w:r>
        <w:t xml:space="preserve"> </w:t>
      </w:r>
      <w:r w:rsidR="0023746F">
        <w:t>50</w:t>
      </w:r>
      <w:r>
        <w:t xml:space="preserve">% of the initial margin tendered by a client, a margin call will be sent to the concerned branch for taking up the matter with the client. </w:t>
      </w:r>
      <w:r w:rsidR="0023746F">
        <w:t>B)</w:t>
      </w:r>
      <w:r w:rsidR="008A7A6B">
        <w:t xml:space="preserve"> </w:t>
      </w:r>
      <w:r>
        <w:t>RMS may square-off the position any t</w:t>
      </w:r>
      <w:r w:rsidR="00611111">
        <w:t>ime after the MTM losses touch 8</w:t>
      </w:r>
      <w:r>
        <w:t xml:space="preserve">0% of the initial margin tendered by the client. </w:t>
      </w:r>
    </w:p>
    <w:p w:rsidR="00A1703B" w:rsidRPr="0023746F" w:rsidRDefault="0023746F" w:rsidP="0023746F">
      <w:pPr>
        <w:spacing w:after="120"/>
        <w:ind w:left="1890" w:hanging="720"/>
        <w:jc w:val="both"/>
        <w:rPr>
          <w:highlight w:val="red"/>
        </w:rPr>
      </w:pPr>
      <w:r>
        <w:t xml:space="preserve">4.1.2.2 </w:t>
      </w:r>
      <w:proofErr w:type="gramStart"/>
      <w:r w:rsidR="00A1703B">
        <w:t>Against</w:t>
      </w:r>
      <w:proofErr w:type="gramEnd"/>
      <w:r w:rsidR="00A1703B">
        <w:t xml:space="preserve"> exposure: Such square-offs will start taking place </w:t>
      </w:r>
      <w:r w:rsidR="008A7A6B">
        <w:t>15</w:t>
      </w:r>
      <w:r w:rsidR="00A1703B">
        <w:t xml:space="preserve"> minutes prior to the close of market for the trading day. Any position where the initial margin available in the client’s account is less than the required </w:t>
      </w:r>
      <w:r w:rsidR="00F04A99">
        <w:t>margin</w:t>
      </w:r>
      <w:r w:rsidR="00A1703B">
        <w:t xml:space="preserve">, the position will be </w:t>
      </w:r>
      <w:r>
        <w:t xml:space="preserve">squared off/ </w:t>
      </w:r>
      <w:r w:rsidR="00A1703B">
        <w:t xml:space="preserve">reduced to bring it within the </w:t>
      </w:r>
      <w:r w:rsidR="00F04A99">
        <w:t>margin</w:t>
      </w:r>
      <w:r w:rsidR="00A1703B">
        <w:t xml:space="preserve"> stipulation. </w:t>
      </w:r>
    </w:p>
    <w:p w:rsidR="00A1703B" w:rsidRDefault="00A1703B" w:rsidP="007F13EF">
      <w:pPr>
        <w:numPr>
          <w:ilvl w:val="2"/>
          <w:numId w:val="22"/>
        </w:numPr>
        <w:spacing w:after="120"/>
        <w:jc w:val="both"/>
      </w:pPr>
      <w:r w:rsidRPr="00F04A99">
        <w:rPr>
          <w:b/>
        </w:rPr>
        <w:t xml:space="preserve">Purchase of options will be allowed only against cash available in a client account. No purchase of option to be allowed against any unrealized </w:t>
      </w:r>
      <w:proofErr w:type="spellStart"/>
      <w:r w:rsidRPr="00F04A99">
        <w:rPr>
          <w:b/>
        </w:rPr>
        <w:t>cheque</w:t>
      </w:r>
      <w:proofErr w:type="spellEnd"/>
      <w:r w:rsidRPr="00F04A99">
        <w:rPr>
          <w:b/>
        </w:rPr>
        <w:t xml:space="preserve"> or against securities</w:t>
      </w:r>
      <w:r>
        <w:t xml:space="preserve">. </w:t>
      </w:r>
    </w:p>
    <w:p w:rsidR="009F3E8C" w:rsidRPr="007F13EF" w:rsidRDefault="0023746F" w:rsidP="007F13EF">
      <w:pPr>
        <w:numPr>
          <w:ilvl w:val="1"/>
          <w:numId w:val="22"/>
        </w:numPr>
        <w:spacing w:after="120"/>
        <w:ind w:left="360"/>
        <w:jc w:val="both"/>
        <w:rPr>
          <w:b/>
        </w:rPr>
      </w:pPr>
      <w:r>
        <w:rPr>
          <w:b/>
        </w:rPr>
        <w:tab/>
      </w:r>
      <w:r>
        <w:rPr>
          <w:b/>
        </w:rPr>
        <w:tab/>
        <w:t xml:space="preserve">       </w:t>
      </w:r>
      <w:r w:rsidR="00A1703B" w:rsidRPr="007F13EF">
        <w:rPr>
          <w:b/>
        </w:rPr>
        <w:t xml:space="preserve">Cash Segment </w:t>
      </w:r>
    </w:p>
    <w:p w:rsidR="00A1703B" w:rsidRDefault="00A1703B" w:rsidP="007F13EF">
      <w:pPr>
        <w:numPr>
          <w:ilvl w:val="2"/>
          <w:numId w:val="22"/>
        </w:numPr>
        <w:spacing w:after="120"/>
        <w:jc w:val="both"/>
      </w:pPr>
      <w:r>
        <w:rPr>
          <w:i/>
        </w:rPr>
        <w:t>Intra-day:</w:t>
      </w:r>
      <w:r>
        <w:t xml:space="preserve"> These transactions are normally, allowed at higher </w:t>
      </w:r>
      <w:r>
        <w:rPr>
          <w:i/>
        </w:rPr>
        <w:t>exposure</w:t>
      </w:r>
      <w:r w:rsidR="008A7A6B">
        <w:rPr>
          <w:i/>
        </w:rPr>
        <w:t xml:space="preserve"> </w:t>
      </w:r>
      <w:r>
        <w:rPr>
          <w:i/>
        </w:rPr>
        <w:t>multiples</w:t>
      </w:r>
      <w:r>
        <w:t xml:space="preserve"> than the normal Buy/</w:t>
      </w:r>
      <w:r w:rsidR="0023746F">
        <w:t xml:space="preserve"> </w:t>
      </w:r>
      <w:r>
        <w:t xml:space="preserve">Sell transactions on the cash segment as they have to be terminated by day end only.  If not terminated, then transaction has to be brought within the delivery based </w:t>
      </w:r>
      <w:r>
        <w:rPr>
          <w:i/>
        </w:rPr>
        <w:t>exposure</w:t>
      </w:r>
      <w:r w:rsidR="008A7A6B">
        <w:rPr>
          <w:i/>
        </w:rPr>
        <w:t xml:space="preserve"> </w:t>
      </w:r>
      <w:r>
        <w:rPr>
          <w:i/>
        </w:rPr>
        <w:t>multiple</w:t>
      </w:r>
      <w:r>
        <w:t xml:space="preserve"> by either terminating part of the transaction </w:t>
      </w:r>
      <w:r w:rsidR="008A7A6B">
        <w:rPr>
          <w:iCs/>
        </w:rPr>
        <w:t>15 minutes before the close of trading day (i.e. by 3:15 pm, if trading hours conclude by 3.30 pm)</w:t>
      </w:r>
      <w:r w:rsidR="008A7A6B">
        <w:t>.</w:t>
      </w:r>
      <w:r>
        <w:t xml:space="preserve">or through availability of higher </w:t>
      </w:r>
      <w:r>
        <w:rPr>
          <w:i/>
        </w:rPr>
        <w:t xml:space="preserve">margin </w:t>
      </w:r>
    </w:p>
    <w:p w:rsidR="00A1703B" w:rsidRDefault="00A1703B" w:rsidP="007F13EF">
      <w:pPr>
        <w:numPr>
          <w:ilvl w:val="2"/>
          <w:numId w:val="22"/>
        </w:numPr>
        <w:spacing w:after="120"/>
        <w:jc w:val="both"/>
      </w:pPr>
      <w:r>
        <w:t xml:space="preserve">In the cash segment, only the underlying transaction would be terminated in whole or in part (and not the stocks held as </w:t>
      </w:r>
      <w:r>
        <w:rPr>
          <w:i/>
        </w:rPr>
        <w:t>margin</w:t>
      </w:r>
      <w:r>
        <w:t>). In F&amp;O, the open positions would be terminated.</w:t>
      </w:r>
    </w:p>
    <w:p w:rsidR="00A1703B" w:rsidRDefault="00A1703B" w:rsidP="007F13EF">
      <w:pPr>
        <w:numPr>
          <w:ilvl w:val="2"/>
          <w:numId w:val="22"/>
        </w:numPr>
        <w:spacing w:after="120"/>
        <w:jc w:val="both"/>
      </w:pPr>
      <w:r>
        <w:t>All positions squared-off by the RMS must be intimated to the Branch</w:t>
      </w:r>
      <w:r w:rsidR="008A7A6B">
        <w:t>/ client</w:t>
      </w:r>
      <w:r>
        <w:t xml:space="preserve"> at the earliest, but not later </w:t>
      </w:r>
      <w:r w:rsidR="00F261C3">
        <w:t>than</w:t>
      </w:r>
      <w:r>
        <w:t xml:space="preserve"> the same calendar day, and contract notes </w:t>
      </w:r>
      <w:r w:rsidR="0023746F">
        <w:t>are</w:t>
      </w:r>
      <w:r>
        <w:t xml:space="preserve"> dispatched as per exchange stipulations without any exception.</w:t>
      </w:r>
    </w:p>
    <w:p w:rsidR="00A1703B" w:rsidRDefault="00A1703B" w:rsidP="007F13EF">
      <w:pPr>
        <w:numPr>
          <w:ilvl w:val="1"/>
          <w:numId w:val="22"/>
        </w:numPr>
        <w:spacing w:after="120"/>
        <w:ind w:left="1890" w:hanging="720"/>
        <w:jc w:val="both"/>
      </w:pPr>
      <w:r>
        <w:t>No cash or Demand drafts are accepted from any client under any situation for meeting a settlement obligation and only payment from client’s bank account will be considered.</w:t>
      </w:r>
    </w:p>
    <w:sectPr w:rsidR="00A1703B" w:rsidSect="00EF0785">
      <w:headerReference w:type="default" r:id="rId9"/>
      <w:footerReference w:type="even" r:id="rId10"/>
      <w:footerReference w:type="default" r:id="rId11"/>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81" w:rsidRDefault="00731581">
      <w:r>
        <w:separator/>
      </w:r>
    </w:p>
  </w:endnote>
  <w:endnote w:type="continuationSeparator" w:id="0">
    <w:p w:rsidR="00731581" w:rsidRDefault="0073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9745B4">
    <w:pPr>
      <w:pStyle w:val="Footer"/>
      <w:framePr w:wrap="around" w:vAnchor="text" w:hAnchor="margin" w:xAlign="right" w:y="1"/>
      <w:rPr>
        <w:rStyle w:val="PageNumber"/>
      </w:rPr>
    </w:pPr>
    <w:r>
      <w:rPr>
        <w:rStyle w:val="PageNumber"/>
      </w:rPr>
      <w:fldChar w:fldCharType="begin"/>
    </w:r>
    <w:r w:rsidR="00A1703B">
      <w:rPr>
        <w:rStyle w:val="PageNumber"/>
      </w:rPr>
      <w:instrText xml:space="preserve">PAGE  </w:instrText>
    </w:r>
    <w:r>
      <w:rPr>
        <w:rStyle w:val="PageNumber"/>
      </w:rPr>
      <w:fldChar w:fldCharType="end"/>
    </w:r>
  </w:p>
  <w:p w:rsidR="00A1703B" w:rsidRDefault="00A170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9745B4">
    <w:pPr>
      <w:pStyle w:val="Footer"/>
      <w:framePr w:wrap="around" w:vAnchor="text" w:hAnchor="margin" w:xAlign="right" w:y="1"/>
      <w:rPr>
        <w:rStyle w:val="PageNumber"/>
      </w:rPr>
    </w:pPr>
    <w:r>
      <w:rPr>
        <w:rStyle w:val="PageNumber"/>
      </w:rPr>
      <w:fldChar w:fldCharType="begin"/>
    </w:r>
    <w:r w:rsidR="00A1703B">
      <w:rPr>
        <w:rStyle w:val="PageNumber"/>
      </w:rPr>
      <w:instrText xml:space="preserve">PAGE  </w:instrText>
    </w:r>
    <w:r>
      <w:rPr>
        <w:rStyle w:val="PageNumber"/>
      </w:rPr>
      <w:fldChar w:fldCharType="separate"/>
    </w:r>
    <w:r w:rsidR="000A5B1B">
      <w:rPr>
        <w:rStyle w:val="PageNumber"/>
        <w:noProof/>
      </w:rPr>
      <w:t>1</w:t>
    </w:r>
    <w:r>
      <w:rPr>
        <w:rStyle w:val="PageNumber"/>
      </w:rPr>
      <w:fldChar w:fldCharType="end"/>
    </w:r>
  </w:p>
  <w:p w:rsidR="00A1703B" w:rsidRDefault="00A170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81" w:rsidRDefault="00731581">
      <w:r>
        <w:separator/>
      </w:r>
    </w:p>
  </w:footnote>
  <w:footnote w:type="continuationSeparator" w:id="0">
    <w:p w:rsidR="00731581" w:rsidRDefault="0073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3B" w:rsidRDefault="00534BCA">
    <w:pPr>
      <w:pStyle w:val="Header"/>
      <w:pBdr>
        <w:bottom w:val="single" w:sz="6" w:space="1" w:color="auto"/>
      </w:pBdr>
      <w:jc w:val="center"/>
    </w:pPr>
    <w:r>
      <w:t>RMS Policy (</w:t>
    </w:r>
    <w:r w:rsidR="000A5B1B" w:rsidRPr="000A5B1B">
      <w:t>Novel Securities</w:t>
    </w:r>
    <w:r w:rsidR="000A5B1B">
      <w:t xml:space="preserve"> </w:t>
    </w:r>
    <w:r>
      <w:t>Pvt. Ltd</w:t>
    </w:r>
    <w:r w:rsidR="000A5B1B">
      <w:t>)</w:t>
    </w:r>
  </w:p>
  <w:p w:rsidR="00A1703B" w:rsidRDefault="00A1703B">
    <w:pPr>
      <w:pStyle w:val="Header"/>
      <w:pBdr>
        <w:bottom w:val="single" w:sz="6" w:space="1" w:color="auto"/>
      </w:pBdr>
      <w:jc w:val="center"/>
    </w:pPr>
  </w:p>
  <w:p w:rsidR="00A1703B" w:rsidRDefault="00A170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F2B"/>
    <w:multiLevelType w:val="hybridMultilevel"/>
    <w:tmpl w:val="CF8A5B98"/>
    <w:lvl w:ilvl="0" w:tplc="D3AE702C">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F16C3F"/>
    <w:multiLevelType w:val="hybridMultilevel"/>
    <w:tmpl w:val="DD64BF88"/>
    <w:lvl w:ilvl="0" w:tplc="6470B112">
      <w:start w:val="1"/>
      <w:numFmt w:val="decimal"/>
      <w:lvlText w:val="%1."/>
      <w:lvlJc w:val="left"/>
      <w:pPr>
        <w:tabs>
          <w:tab w:val="num" w:pos="720"/>
        </w:tabs>
        <w:ind w:left="720" w:hanging="360"/>
      </w:pPr>
    </w:lvl>
    <w:lvl w:ilvl="1" w:tplc="6CFC69EA" w:tentative="1">
      <w:start w:val="1"/>
      <w:numFmt w:val="decimal"/>
      <w:lvlText w:val="%2."/>
      <w:lvlJc w:val="left"/>
      <w:pPr>
        <w:tabs>
          <w:tab w:val="num" w:pos="1440"/>
        </w:tabs>
        <w:ind w:left="1440" w:hanging="360"/>
      </w:pPr>
    </w:lvl>
    <w:lvl w:ilvl="2" w:tplc="CAF22492" w:tentative="1">
      <w:start w:val="1"/>
      <w:numFmt w:val="decimal"/>
      <w:lvlText w:val="%3."/>
      <w:lvlJc w:val="left"/>
      <w:pPr>
        <w:tabs>
          <w:tab w:val="num" w:pos="2160"/>
        </w:tabs>
        <w:ind w:left="2160" w:hanging="360"/>
      </w:pPr>
    </w:lvl>
    <w:lvl w:ilvl="3" w:tplc="5AF87940" w:tentative="1">
      <w:start w:val="1"/>
      <w:numFmt w:val="decimal"/>
      <w:lvlText w:val="%4."/>
      <w:lvlJc w:val="left"/>
      <w:pPr>
        <w:tabs>
          <w:tab w:val="num" w:pos="2880"/>
        </w:tabs>
        <w:ind w:left="2880" w:hanging="360"/>
      </w:pPr>
    </w:lvl>
    <w:lvl w:ilvl="4" w:tplc="0F2A004E" w:tentative="1">
      <w:start w:val="1"/>
      <w:numFmt w:val="decimal"/>
      <w:lvlText w:val="%5."/>
      <w:lvlJc w:val="left"/>
      <w:pPr>
        <w:tabs>
          <w:tab w:val="num" w:pos="3600"/>
        </w:tabs>
        <w:ind w:left="3600" w:hanging="360"/>
      </w:pPr>
    </w:lvl>
    <w:lvl w:ilvl="5" w:tplc="01EAD00E" w:tentative="1">
      <w:start w:val="1"/>
      <w:numFmt w:val="decimal"/>
      <w:lvlText w:val="%6."/>
      <w:lvlJc w:val="left"/>
      <w:pPr>
        <w:tabs>
          <w:tab w:val="num" w:pos="4320"/>
        </w:tabs>
        <w:ind w:left="4320" w:hanging="360"/>
      </w:pPr>
    </w:lvl>
    <w:lvl w:ilvl="6" w:tplc="2FA403D8" w:tentative="1">
      <w:start w:val="1"/>
      <w:numFmt w:val="decimal"/>
      <w:lvlText w:val="%7."/>
      <w:lvlJc w:val="left"/>
      <w:pPr>
        <w:tabs>
          <w:tab w:val="num" w:pos="5040"/>
        </w:tabs>
        <w:ind w:left="5040" w:hanging="360"/>
      </w:pPr>
    </w:lvl>
    <w:lvl w:ilvl="7" w:tplc="CD2825E6" w:tentative="1">
      <w:start w:val="1"/>
      <w:numFmt w:val="decimal"/>
      <w:lvlText w:val="%8."/>
      <w:lvlJc w:val="left"/>
      <w:pPr>
        <w:tabs>
          <w:tab w:val="num" w:pos="5760"/>
        </w:tabs>
        <w:ind w:left="5760" w:hanging="360"/>
      </w:pPr>
    </w:lvl>
    <w:lvl w:ilvl="8" w:tplc="73502FF8" w:tentative="1">
      <w:start w:val="1"/>
      <w:numFmt w:val="decimal"/>
      <w:lvlText w:val="%9."/>
      <w:lvlJc w:val="left"/>
      <w:pPr>
        <w:tabs>
          <w:tab w:val="num" w:pos="6480"/>
        </w:tabs>
        <w:ind w:left="6480" w:hanging="360"/>
      </w:pPr>
    </w:lvl>
  </w:abstractNum>
  <w:abstractNum w:abstractNumId="2">
    <w:nsid w:val="0924545C"/>
    <w:multiLevelType w:val="multilevel"/>
    <w:tmpl w:val="2C28759E"/>
    <w:lvl w:ilvl="0">
      <w:start w:val="1"/>
      <w:numFmt w:val="decimal"/>
      <w:lvlText w:val="%1.0"/>
      <w:lvlJc w:val="left"/>
      <w:pPr>
        <w:tabs>
          <w:tab w:val="num" w:pos="360"/>
        </w:tabs>
        <w:ind w:left="360" w:hanging="360"/>
      </w:pPr>
      <w:rPr>
        <w:sz w:val="22"/>
      </w:rPr>
    </w:lvl>
    <w:lvl w:ilvl="1">
      <w:start w:val="1"/>
      <w:numFmt w:val="decimal"/>
      <w:lvlText w:val="%1.%2"/>
      <w:lvlJc w:val="left"/>
      <w:pPr>
        <w:tabs>
          <w:tab w:val="num" w:pos="1080"/>
        </w:tabs>
        <w:ind w:left="1080" w:hanging="360"/>
      </w:pPr>
      <w:rPr>
        <w:sz w:val="22"/>
      </w:rPr>
    </w:lvl>
    <w:lvl w:ilvl="2">
      <w:start w:val="1"/>
      <w:numFmt w:val="decimal"/>
      <w:lvlText w:val="%1.%2.%3"/>
      <w:lvlJc w:val="left"/>
      <w:pPr>
        <w:tabs>
          <w:tab w:val="num" w:pos="2160"/>
        </w:tabs>
        <w:ind w:left="2160" w:hanging="720"/>
      </w:pPr>
      <w:rPr>
        <w:sz w:val="22"/>
      </w:rPr>
    </w:lvl>
    <w:lvl w:ilvl="3">
      <w:start w:val="1"/>
      <w:numFmt w:val="decimal"/>
      <w:lvlText w:val="%1.%2.%3.%4"/>
      <w:lvlJc w:val="left"/>
      <w:pPr>
        <w:tabs>
          <w:tab w:val="num" w:pos="2880"/>
        </w:tabs>
        <w:ind w:left="2880" w:hanging="720"/>
      </w:pPr>
      <w:rPr>
        <w:sz w:val="22"/>
      </w:rPr>
    </w:lvl>
    <w:lvl w:ilvl="4">
      <w:start w:val="1"/>
      <w:numFmt w:val="decimal"/>
      <w:lvlText w:val="%1.%2.%3.%4.%5"/>
      <w:lvlJc w:val="left"/>
      <w:pPr>
        <w:tabs>
          <w:tab w:val="num" w:pos="3960"/>
        </w:tabs>
        <w:ind w:left="3960" w:hanging="1080"/>
      </w:pPr>
      <w:rPr>
        <w:sz w:val="22"/>
      </w:rPr>
    </w:lvl>
    <w:lvl w:ilvl="5">
      <w:start w:val="1"/>
      <w:numFmt w:val="decimal"/>
      <w:lvlText w:val="%1.%2.%3.%4.%5.%6"/>
      <w:lvlJc w:val="left"/>
      <w:pPr>
        <w:tabs>
          <w:tab w:val="num" w:pos="4680"/>
        </w:tabs>
        <w:ind w:left="4680" w:hanging="1080"/>
      </w:pPr>
      <w:rPr>
        <w:sz w:val="22"/>
      </w:rPr>
    </w:lvl>
    <w:lvl w:ilvl="6">
      <w:start w:val="1"/>
      <w:numFmt w:val="decimal"/>
      <w:lvlText w:val="%1.%2.%3.%4.%5.%6.%7"/>
      <w:lvlJc w:val="left"/>
      <w:pPr>
        <w:tabs>
          <w:tab w:val="num" w:pos="5760"/>
        </w:tabs>
        <w:ind w:left="5760" w:hanging="1440"/>
      </w:pPr>
      <w:rPr>
        <w:sz w:val="22"/>
      </w:rPr>
    </w:lvl>
    <w:lvl w:ilvl="7">
      <w:start w:val="1"/>
      <w:numFmt w:val="decimal"/>
      <w:lvlText w:val="%1.%2.%3.%4.%5.%6.%7.%8"/>
      <w:lvlJc w:val="left"/>
      <w:pPr>
        <w:tabs>
          <w:tab w:val="num" w:pos="6480"/>
        </w:tabs>
        <w:ind w:left="6480" w:hanging="1440"/>
      </w:pPr>
      <w:rPr>
        <w:sz w:val="22"/>
      </w:rPr>
    </w:lvl>
    <w:lvl w:ilvl="8">
      <w:start w:val="1"/>
      <w:numFmt w:val="decimal"/>
      <w:lvlText w:val="%1.%2.%3.%4.%5.%6.%7.%8.%9"/>
      <w:lvlJc w:val="left"/>
      <w:pPr>
        <w:tabs>
          <w:tab w:val="num" w:pos="7560"/>
        </w:tabs>
        <w:ind w:left="7560" w:hanging="1800"/>
      </w:pPr>
      <w:rPr>
        <w:sz w:val="22"/>
      </w:rPr>
    </w:lvl>
  </w:abstractNum>
  <w:abstractNum w:abstractNumId="3">
    <w:nsid w:val="171E1581"/>
    <w:multiLevelType w:val="hybridMultilevel"/>
    <w:tmpl w:val="84D0A490"/>
    <w:lvl w:ilvl="0" w:tplc="897E0E00">
      <w:start w:val="1"/>
      <w:numFmt w:val="decimal"/>
      <w:lvlText w:val="%1."/>
      <w:lvlJc w:val="left"/>
      <w:pPr>
        <w:tabs>
          <w:tab w:val="num" w:pos="540"/>
        </w:tabs>
        <w:ind w:left="540" w:hanging="360"/>
      </w:pPr>
      <w:rPr>
        <w:rFonts w:ascii="Times New Roman" w:hAnsi="Times New Roman" w:cs="Times New Roman"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77C1A4F"/>
    <w:multiLevelType w:val="hybridMultilevel"/>
    <w:tmpl w:val="6FB4C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A2BE2"/>
    <w:multiLevelType w:val="multilevel"/>
    <w:tmpl w:val="4BBE475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B6E0EC8"/>
    <w:multiLevelType w:val="hybridMultilevel"/>
    <w:tmpl w:val="EB0AA0CE"/>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8A5CC9"/>
    <w:multiLevelType w:val="hybridMultilevel"/>
    <w:tmpl w:val="C43E1166"/>
    <w:lvl w:ilvl="0" w:tplc="9FA646A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B62221"/>
    <w:multiLevelType w:val="hybridMultilevel"/>
    <w:tmpl w:val="F5067F86"/>
    <w:lvl w:ilvl="0" w:tplc="3822F01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9230E"/>
    <w:multiLevelType w:val="multilevel"/>
    <w:tmpl w:val="3050F21A"/>
    <w:lvl w:ilvl="0">
      <w:start w:val="1"/>
      <w:numFmt w:val="decimal"/>
      <w:lvlText w:val="%1"/>
      <w:lvlJc w:val="left"/>
      <w:pPr>
        <w:ind w:left="480" w:hanging="480"/>
      </w:pPr>
      <w:rPr>
        <w:rFonts w:hint="default"/>
      </w:rPr>
    </w:lvl>
    <w:lvl w:ilvl="1">
      <w:start w:val="4"/>
      <w:numFmt w:val="decimal"/>
      <w:lvlText w:val="%1.%2"/>
      <w:lvlJc w:val="left"/>
      <w:pPr>
        <w:ind w:left="57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E9F50DF"/>
    <w:multiLevelType w:val="hybridMultilevel"/>
    <w:tmpl w:val="95160C9E"/>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F9209E"/>
    <w:multiLevelType w:val="hybridMultilevel"/>
    <w:tmpl w:val="D45C5BE0"/>
    <w:lvl w:ilvl="0" w:tplc="0409000F">
      <w:start w:val="1"/>
      <w:numFmt w:val="decimal"/>
      <w:lvlText w:val="%1."/>
      <w:lvlJc w:val="left"/>
      <w:pPr>
        <w:tabs>
          <w:tab w:val="num" w:pos="720"/>
        </w:tabs>
        <w:ind w:left="720" w:hanging="360"/>
      </w:pPr>
    </w:lvl>
    <w:lvl w:ilvl="1" w:tplc="35F8B8DE">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3C1718"/>
    <w:multiLevelType w:val="hybridMultilevel"/>
    <w:tmpl w:val="724C2F90"/>
    <w:lvl w:ilvl="0" w:tplc="7C0C5842">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D17F92"/>
    <w:multiLevelType w:val="hybridMultilevel"/>
    <w:tmpl w:val="8FAC6468"/>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nsid w:val="4BDA2CE2"/>
    <w:multiLevelType w:val="hybridMultilevel"/>
    <w:tmpl w:val="27CE90DC"/>
    <w:lvl w:ilvl="0" w:tplc="3822F0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0833C5"/>
    <w:multiLevelType w:val="hybridMultilevel"/>
    <w:tmpl w:val="764486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C865565"/>
    <w:multiLevelType w:val="hybridMultilevel"/>
    <w:tmpl w:val="C43E116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C9E6105"/>
    <w:multiLevelType w:val="multilevel"/>
    <w:tmpl w:val="B0448F90"/>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FA34760"/>
    <w:multiLevelType w:val="hybridMultilevel"/>
    <w:tmpl w:val="FD569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027851"/>
    <w:multiLevelType w:val="hybridMultilevel"/>
    <w:tmpl w:val="D5E06FA0"/>
    <w:lvl w:ilvl="0" w:tplc="28964F4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163875"/>
    <w:multiLevelType w:val="multilevel"/>
    <w:tmpl w:val="D6A625B6"/>
    <w:lvl w:ilvl="0">
      <w:start w:val="3"/>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nsid w:val="68402FE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AC976F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14"/>
  </w:num>
  <w:num w:numId="4">
    <w:abstractNumId w:val="10"/>
  </w:num>
  <w:num w:numId="5">
    <w:abstractNumId w:val="11"/>
  </w:num>
  <w:num w:numId="6">
    <w:abstractNumId w:val="13"/>
  </w:num>
  <w:num w:numId="7">
    <w:abstractNumId w:val="22"/>
  </w:num>
  <w:num w:numId="8">
    <w:abstractNumId w:val="7"/>
  </w:num>
  <w:num w:numId="9">
    <w:abstractNumId w:val="16"/>
  </w:num>
  <w:num w:numId="10">
    <w:abstractNumId w:val="21"/>
  </w:num>
  <w:num w:numId="11">
    <w:abstractNumId w:val="4"/>
  </w:num>
  <w:num w:numId="12">
    <w:abstractNumId w:val="18"/>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7"/>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33F4"/>
    <w:rsid w:val="0002554A"/>
    <w:rsid w:val="000616A4"/>
    <w:rsid w:val="000843C6"/>
    <w:rsid w:val="000A5B1B"/>
    <w:rsid w:val="001E7A02"/>
    <w:rsid w:val="00216A64"/>
    <w:rsid w:val="0023746F"/>
    <w:rsid w:val="0024211C"/>
    <w:rsid w:val="002760F6"/>
    <w:rsid w:val="00286886"/>
    <w:rsid w:val="003233F4"/>
    <w:rsid w:val="003A4585"/>
    <w:rsid w:val="00534BCA"/>
    <w:rsid w:val="005748B0"/>
    <w:rsid w:val="005A33D5"/>
    <w:rsid w:val="00611111"/>
    <w:rsid w:val="00611F3D"/>
    <w:rsid w:val="0061490E"/>
    <w:rsid w:val="00634BBA"/>
    <w:rsid w:val="006550F6"/>
    <w:rsid w:val="006D0498"/>
    <w:rsid w:val="006D0DE1"/>
    <w:rsid w:val="006F3022"/>
    <w:rsid w:val="00731581"/>
    <w:rsid w:val="00763446"/>
    <w:rsid w:val="007F13EF"/>
    <w:rsid w:val="00877024"/>
    <w:rsid w:val="00887500"/>
    <w:rsid w:val="008A7A6B"/>
    <w:rsid w:val="00931E2E"/>
    <w:rsid w:val="00934F92"/>
    <w:rsid w:val="009612EC"/>
    <w:rsid w:val="009745B4"/>
    <w:rsid w:val="00975761"/>
    <w:rsid w:val="009F3E8C"/>
    <w:rsid w:val="00A0284A"/>
    <w:rsid w:val="00A1703B"/>
    <w:rsid w:val="00A1799C"/>
    <w:rsid w:val="00A84C82"/>
    <w:rsid w:val="00A9797A"/>
    <w:rsid w:val="00AE241B"/>
    <w:rsid w:val="00B10FA8"/>
    <w:rsid w:val="00B21CF3"/>
    <w:rsid w:val="00B90E3D"/>
    <w:rsid w:val="00BA2534"/>
    <w:rsid w:val="00BB4DC8"/>
    <w:rsid w:val="00BC5B91"/>
    <w:rsid w:val="00C32D04"/>
    <w:rsid w:val="00CB5521"/>
    <w:rsid w:val="00CD0815"/>
    <w:rsid w:val="00CD7E89"/>
    <w:rsid w:val="00D04869"/>
    <w:rsid w:val="00DE4702"/>
    <w:rsid w:val="00E35CD5"/>
    <w:rsid w:val="00E7310E"/>
    <w:rsid w:val="00ED1F39"/>
    <w:rsid w:val="00EE69D5"/>
    <w:rsid w:val="00EF0785"/>
    <w:rsid w:val="00F04A99"/>
    <w:rsid w:val="00F10B87"/>
    <w:rsid w:val="00F261C3"/>
    <w:rsid w:val="00FB36BD"/>
    <w:rsid w:val="00FB55E9"/>
    <w:rsid w:val="00FC6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90E"/>
    <w:rPr>
      <w:sz w:val="24"/>
      <w:szCs w:val="24"/>
    </w:rPr>
  </w:style>
  <w:style w:type="paragraph" w:styleId="Heading1">
    <w:name w:val="heading 1"/>
    <w:basedOn w:val="Normal"/>
    <w:next w:val="Normal"/>
    <w:qFormat/>
    <w:rsid w:val="0061490E"/>
    <w:pPr>
      <w:keepNext/>
      <w:outlineLvl w:val="0"/>
    </w:pPr>
    <w:rPr>
      <w:u w:val="single"/>
    </w:rPr>
  </w:style>
  <w:style w:type="paragraph" w:styleId="Heading2">
    <w:name w:val="heading 2"/>
    <w:basedOn w:val="Normal"/>
    <w:next w:val="Normal"/>
    <w:qFormat/>
    <w:rsid w:val="0061490E"/>
    <w:pPr>
      <w:keepNext/>
      <w:jc w:val="both"/>
      <w:outlineLvl w:val="1"/>
    </w:pPr>
    <w:rPr>
      <w:b/>
      <w:bCs/>
      <w:u w:val="single"/>
    </w:rPr>
  </w:style>
  <w:style w:type="paragraph" w:styleId="Heading3">
    <w:name w:val="heading 3"/>
    <w:basedOn w:val="Normal"/>
    <w:next w:val="Normal"/>
    <w:qFormat/>
    <w:rsid w:val="0061490E"/>
    <w:pPr>
      <w:keepNext/>
      <w:jc w:val="both"/>
      <w:outlineLvl w:val="2"/>
    </w:pPr>
    <w:rPr>
      <w:b/>
      <w:bCs/>
    </w:rPr>
  </w:style>
  <w:style w:type="paragraph" w:styleId="Heading4">
    <w:name w:val="heading 4"/>
    <w:basedOn w:val="Normal"/>
    <w:next w:val="Normal"/>
    <w:qFormat/>
    <w:rsid w:val="0061490E"/>
    <w:pPr>
      <w:keepNext/>
      <w:spacing w:after="1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490E"/>
    <w:rPr>
      <w:sz w:val="16"/>
      <w:szCs w:val="16"/>
    </w:rPr>
  </w:style>
  <w:style w:type="paragraph" w:styleId="Footer">
    <w:name w:val="footer"/>
    <w:basedOn w:val="Normal"/>
    <w:rsid w:val="0061490E"/>
    <w:pPr>
      <w:tabs>
        <w:tab w:val="center" w:pos="4320"/>
        <w:tab w:val="right" w:pos="8640"/>
      </w:tabs>
    </w:pPr>
  </w:style>
  <w:style w:type="character" w:styleId="PageNumber">
    <w:name w:val="page number"/>
    <w:basedOn w:val="DefaultParagraphFont"/>
    <w:rsid w:val="0061490E"/>
  </w:style>
  <w:style w:type="character" w:styleId="Hyperlink">
    <w:name w:val="Hyperlink"/>
    <w:basedOn w:val="DefaultParagraphFont"/>
    <w:rsid w:val="0061490E"/>
    <w:rPr>
      <w:color w:val="0000FF"/>
      <w:u w:val="single"/>
    </w:rPr>
  </w:style>
  <w:style w:type="paragraph" w:styleId="CommentText">
    <w:name w:val="annotation text"/>
    <w:basedOn w:val="Normal"/>
    <w:semiHidden/>
    <w:rsid w:val="0061490E"/>
    <w:rPr>
      <w:sz w:val="20"/>
      <w:szCs w:val="20"/>
    </w:rPr>
  </w:style>
  <w:style w:type="paragraph" w:styleId="CommentSubject">
    <w:name w:val="annotation subject"/>
    <w:basedOn w:val="CommentText"/>
    <w:next w:val="CommentText"/>
    <w:semiHidden/>
    <w:rsid w:val="0061490E"/>
    <w:rPr>
      <w:b/>
      <w:bCs/>
    </w:rPr>
  </w:style>
  <w:style w:type="paragraph" w:styleId="BalloonText">
    <w:name w:val="Balloon Text"/>
    <w:basedOn w:val="Normal"/>
    <w:semiHidden/>
    <w:rsid w:val="0061490E"/>
    <w:rPr>
      <w:rFonts w:ascii="Tahoma" w:hAnsi="Tahoma" w:cs="Tahoma"/>
      <w:sz w:val="16"/>
      <w:szCs w:val="16"/>
    </w:rPr>
  </w:style>
  <w:style w:type="paragraph" w:styleId="BodyTextIndent">
    <w:name w:val="Body Text Indent"/>
    <w:basedOn w:val="Normal"/>
    <w:rsid w:val="0061490E"/>
    <w:pPr>
      <w:spacing w:after="120"/>
      <w:ind w:left="720"/>
      <w:jc w:val="both"/>
    </w:pPr>
  </w:style>
  <w:style w:type="paragraph" w:styleId="BodyTextIndent2">
    <w:name w:val="Body Text Indent 2"/>
    <w:basedOn w:val="Normal"/>
    <w:rsid w:val="0061490E"/>
    <w:pPr>
      <w:ind w:left="792"/>
      <w:jc w:val="both"/>
    </w:pPr>
  </w:style>
  <w:style w:type="character" w:styleId="FollowedHyperlink">
    <w:name w:val="FollowedHyperlink"/>
    <w:basedOn w:val="DefaultParagraphFont"/>
    <w:rsid w:val="0061490E"/>
    <w:rPr>
      <w:color w:val="800080"/>
      <w:u w:val="single"/>
    </w:rPr>
  </w:style>
  <w:style w:type="paragraph" w:styleId="Header">
    <w:name w:val="header"/>
    <w:basedOn w:val="Normal"/>
    <w:rsid w:val="0061490E"/>
    <w:pPr>
      <w:tabs>
        <w:tab w:val="center" w:pos="4320"/>
        <w:tab w:val="right" w:pos="8640"/>
      </w:tabs>
    </w:pPr>
  </w:style>
  <w:style w:type="paragraph" w:styleId="EndnoteText">
    <w:name w:val="endnote text"/>
    <w:basedOn w:val="Normal"/>
    <w:semiHidden/>
    <w:rsid w:val="0061490E"/>
    <w:rPr>
      <w:rFonts w:ascii="Arial" w:hAnsi="Arial"/>
      <w:sz w:val="16"/>
      <w:szCs w:val="20"/>
    </w:rPr>
  </w:style>
  <w:style w:type="paragraph" w:customStyle="1" w:styleId="Style1">
    <w:name w:val="Style1"/>
    <w:basedOn w:val="EndnoteText"/>
    <w:rsid w:val="0061490E"/>
  </w:style>
  <w:style w:type="character" w:customStyle="1" w:styleId="hcp5">
    <w:name w:val="hcp5"/>
    <w:basedOn w:val="DefaultParagraphFont"/>
    <w:rsid w:val="0061490E"/>
    <w:rPr>
      <w:b/>
      <w:bCs/>
    </w:rPr>
  </w:style>
  <w:style w:type="paragraph" w:styleId="NormalWeb">
    <w:name w:val="Normal (Web)"/>
    <w:basedOn w:val="Normal"/>
    <w:rsid w:val="0061490E"/>
    <w:pPr>
      <w:spacing w:before="100" w:beforeAutospacing="1" w:after="100" w:afterAutospacing="1"/>
    </w:pPr>
  </w:style>
  <w:style w:type="paragraph" w:styleId="ListParagraph">
    <w:name w:val="List Paragraph"/>
    <w:basedOn w:val="Normal"/>
    <w:uiPriority w:val="34"/>
    <w:qFormat/>
    <w:rsid w:val="00CB5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90E"/>
    <w:rPr>
      <w:sz w:val="24"/>
      <w:szCs w:val="24"/>
    </w:rPr>
  </w:style>
  <w:style w:type="paragraph" w:styleId="Heading1">
    <w:name w:val="heading 1"/>
    <w:basedOn w:val="Normal"/>
    <w:next w:val="Normal"/>
    <w:qFormat/>
    <w:rsid w:val="0061490E"/>
    <w:pPr>
      <w:keepNext/>
      <w:outlineLvl w:val="0"/>
    </w:pPr>
    <w:rPr>
      <w:u w:val="single"/>
    </w:rPr>
  </w:style>
  <w:style w:type="paragraph" w:styleId="Heading2">
    <w:name w:val="heading 2"/>
    <w:basedOn w:val="Normal"/>
    <w:next w:val="Normal"/>
    <w:qFormat/>
    <w:rsid w:val="0061490E"/>
    <w:pPr>
      <w:keepNext/>
      <w:jc w:val="both"/>
      <w:outlineLvl w:val="1"/>
    </w:pPr>
    <w:rPr>
      <w:b/>
      <w:bCs/>
      <w:u w:val="single"/>
    </w:rPr>
  </w:style>
  <w:style w:type="paragraph" w:styleId="Heading3">
    <w:name w:val="heading 3"/>
    <w:basedOn w:val="Normal"/>
    <w:next w:val="Normal"/>
    <w:qFormat/>
    <w:rsid w:val="0061490E"/>
    <w:pPr>
      <w:keepNext/>
      <w:jc w:val="both"/>
      <w:outlineLvl w:val="2"/>
    </w:pPr>
    <w:rPr>
      <w:b/>
      <w:bCs/>
    </w:rPr>
  </w:style>
  <w:style w:type="paragraph" w:styleId="Heading4">
    <w:name w:val="heading 4"/>
    <w:basedOn w:val="Normal"/>
    <w:next w:val="Normal"/>
    <w:qFormat/>
    <w:rsid w:val="0061490E"/>
    <w:pPr>
      <w:keepNext/>
      <w:spacing w:after="1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490E"/>
    <w:rPr>
      <w:sz w:val="16"/>
      <w:szCs w:val="16"/>
    </w:rPr>
  </w:style>
  <w:style w:type="paragraph" w:styleId="Footer">
    <w:name w:val="footer"/>
    <w:basedOn w:val="Normal"/>
    <w:rsid w:val="0061490E"/>
    <w:pPr>
      <w:tabs>
        <w:tab w:val="center" w:pos="4320"/>
        <w:tab w:val="right" w:pos="8640"/>
      </w:tabs>
    </w:pPr>
  </w:style>
  <w:style w:type="character" w:styleId="PageNumber">
    <w:name w:val="page number"/>
    <w:basedOn w:val="DefaultParagraphFont"/>
    <w:rsid w:val="0061490E"/>
  </w:style>
  <w:style w:type="character" w:styleId="Hyperlink">
    <w:name w:val="Hyperlink"/>
    <w:basedOn w:val="DefaultParagraphFont"/>
    <w:rsid w:val="0061490E"/>
    <w:rPr>
      <w:color w:val="0000FF"/>
      <w:u w:val="single"/>
    </w:rPr>
  </w:style>
  <w:style w:type="paragraph" w:styleId="CommentText">
    <w:name w:val="annotation text"/>
    <w:basedOn w:val="Normal"/>
    <w:semiHidden/>
    <w:rsid w:val="0061490E"/>
    <w:rPr>
      <w:sz w:val="20"/>
      <w:szCs w:val="20"/>
    </w:rPr>
  </w:style>
  <w:style w:type="paragraph" w:styleId="CommentSubject">
    <w:name w:val="annotation subject"/>
    <w:basedOn w:val="CommentText"/>
    <w:next w:val="CommentText"/>
    <w:semiHidden/>
    <w:rsid w:val="0061490E"/>
    <w:rPr>
      <w:b/>
      <w:bCs/>
    </w:rPr>
  </w:style>
  <w:style w:type="paragraph" w:styleId="BalloonText">
    <w:name w:val="Balloon Text"/>
    <w:basedOn w:val="Normal"/>
    <w:semiHidden/>
    <w:rsid w:val="0061490E"/>
    <w:rPr>
      <w:rFonts w:ascii="Tahoma" w:hAnsi="Tahoma" w:cs="Tahoma"/>
      <w:sz w:val="16"/>
      <w:szCs w:val="16"/>
    </w:rPr>
  </w:style>
  <w:style w:type="paragraph" w:styleId="BodyTextIndent">
    <w:name w:val="Body Text Indent"/>
    <w:basedOn w:val="Normal"/>
    <w:rsid w:val="0061490E"/>
    <w:pPr>
      <w:spacing w:after="120"/>
      <w:ind w:left="720"/>
      <w:jc w:val="both"/>
    </w:pPr>
  </w:style>
  <w:style w:type="paragraph" w:styleId="BodyTextIndent2">
    <w:name w:val="Body Text Indent 2"/>
    <w:basedOn w:val="Normal"/>
    <w:rsid w:val="0061490E"/>
    <w:pPr>
      <w:ind w:left="792"/>
      <w:jc w:val="both"/>
    </w:pPr>
  </w:style>
  <w:style w:type="character" w:styleId="FollowedHyperlink">
    <w:name w:val="FollowedHyperlink"/>
    <w:basedOn w:val="DefaultParagraphFont"/>
    <w:rsid w:val="0061490E"/>
    <w:rPr>
      <w:color w:val="800080"/>
      <w:u w:val="single"/>
    </w:rPr>
  </w:style>
  <w:style w:type="paragraph" w:styleId="Header">
    <w:name w:val="header"/>
    <w:basedOn w:val="Normal"/>
    <w:rsid w:val="0061490E"/>
    <w:pPr>
      <w:tabs>
        <w:tab w:val="center" w:pos="4320"/>
        <w:tab w:val="right" w:pos="8640"/>
      </w:tabs>
    </w:pPr>
  </w:style>
  <w:style w:type="paragraph" w:styleId="EndnoteText">
    <w:name w:val="endnote text"/>
    <w:basedOn w:val="Normal"/>
    <w:semiHidden/>
    <w:rsid w:val="0061490E"/>
    <w:rPr>
      <w:rFonts w:ascii="Arial" w:hAnsi="Arial"/>
      <w:sz w:val="16"/>
      <w:szCs w:val="20"/>
    </w:rPr>
  </w:style>
  <w:style w:type="paragraph" w:customStyle="1" w:styleId="Style1">
    <w:name w:val="Style1"/>
    <w:basedOn w:val="EndnoteText"/>
    <w:rsid w:val="0061490E"/>
  </w:style>
  <w:style w:type="character" w:customStyle="1" w:styleId="hcp5">
    <w:name w:val="hcp5"/>
    <w:basedOn w:val="DefaultParagraphFont"/>
    <w:rsid w:val="0061490E"/>
    <w:rPr>
      <w:b/>
      <w:bCs/>
    </w:rPr>
  </w:style>
  <w:style w:type="paragraph" w:styleId="NormalWeb">
    <w:name w:val="Normal (Web)"/>
    <w:basedOn w:val="Normal"/>
    <w:rsid w:val="00614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5726-765B-4F62-A959-8AD4EF6D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Almondz Capital Markets P Ltd</vt:lpstr>
    </vt:vector>
  </TitlesOfParts>
  <Company>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Almondz Capital Markets P Ltd</dc:title>
  <dc:subject/>
  <dc:creator>Vinay Mehta</dc:creator>
  <cp:keywords/>
  <dc:description/>
  <cp:lastModifiedBy>abc</cp:lastModifiedBy>
  <cp:revision>13</cp:revision>
  <cp:lastPrinted>2010-09-22T10:15:00Z</cp:lastPrinted>
  <dcterms:created xsi:type="dcterms:W3CDTF">2012-09-01T06:56:00Z</dcterms:created>
  <dcterms:modified xsi:type="dcterms:W3CDTF">2021-11-29T19:09:00Z</dcterms:modified>
</cp:coreProperties>
</file>